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sz w:val="36"/>
          <w:szCs w:val="36"/>
        </w:rPr>
      </w:pPr>
      <w:r>
        <w:rPr>
          <w:rFonts w:hint="eastAsia" w:ascii="黑体" w:eastAsia="黑体"/>
          <w:b/>
          <w:sz w:val="36"/>
          <w:szCs w:val="36"/>
        </w:rPr>
        <w:t>2017年军人一次性抚恤金项目支出绩效</w:t>
      </w:r>
      <w:r>
        <w:rPr>
          <w:rFonts w:hint="eastAsia" w:ascii="黑体" w:eastAsia="黑体"/>
          <w:b/>
          <w:sz w:val="36"/>
          <w:szCs w:val="36"/>
          <w:lang w:eastAsia="zh-CN"/>
        </w:rPr>
        <w:t>自评</w:t>
      </w:r>
      <w:r>
        <w:rPr>
          <w:rFonts w:hint="eastAsia" w:ascii="黑体" w:eastAsia="黑体"/>
          <w:b/>
          <w:sz w:val="36"/>
          <w:szCs w:val="36"/>
        </w:rPr>
        <w:t>报告</w:t>
      </w:r>
    </w:p>
    <w:p>
      <w:pPr>
        <w:adjustRightInd w:val="0"/>
        <w:snapToGrid w:val="0"/>
        <w:spacing w:line="360" w:lineRule="auto"/>
        <w:jc w:val="center"/>
        <w:rPr>
          <w:rFonts w:hint="eastAsia" w:ascii="黑体" w:eastAsia="黑体"/>
          <w:b/>
          <w:sz w:val="36"/>
          <w:szCs w:val="36"/>
        </w:rPr>
      </w:pPr>
    </w:p>
    <w:p>
      <w:pPr>
        <w:adjustRightInd w:val="0"/>
        <w:snapToGrid w:val="0"/>
        <w:spacing w:line="360" w:lineRule="auto"/>
        <w:ind w:firstLine="643" w:firstLineChars="200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一、项目基本情况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 xml:space="preserve">    （一）项目的实施依据、基本性质、用途和主要内容、涉及范围、预期投入情况及实施后达成的主要效益</w:t>
      </w:r>
    </w:p>
    <w:p>
      <w:pPr>
        <w:adjustRightInd w:val="0"/>
        <w:snapToGrid w:val="0"/>
        <w:spacing w:line="360" w:lineRule="auto"/>
        <w:ind w:firstLine="472" w:firstLineChars="147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b/>
          <w:sz w:val="32"/>
        </w:rPr>
        <w:t>项目概况：</w:t>
      </w:r>
      <w:r>
        <w:rPr>
          <w:rFonts w:hint="eastAsia" w:ascii="仿宋" w:hAnsi="仿宋" w:eastAsia="仿宋"/>
          <w:sz w:val="32"/>
        </w:rPr>
        <w:t>近年来，市委、市政府高度重视军人抚恤优待工作，把军人一次性抚恤金发放工作作为双拥创建工作的一项重要内容，抓紧抓好，并把四城区发放的军人一次性抚恤金列入市级财政预算。201</w:t>
      </w:r>
      <w:r>
        <w:rPr>
          <w:rFonts w:hint="eastAsia" w:ascii="仿宋" w:hAnsi="仿宋"/>
          <w:sz w:val="32"/>
        </w:rPr>
        <w:t>7</w:t>
      </w:r>
      <w:r>
        <w:rPr>
          <w:rFonts w:hint="eastAsia" w:ascii="仿宋" w:hAnsi="仿宋" w:eastAsia="仿宋"/>
          <w:sz w:val="32"/>
        </w:rPr>
        <w:t>年，四城区共发放军人一次性抚恤金</w:t>
      </w:r>
      <w:r>
        <w:rPr>
          <w:rFonts w:hint="eastAsia" w:ascii="仿宋" w:hAnsi="仿宋"/>
          <w:sz w:val="32"/>
        </w:rPr>
        <w:t>82</w:t>
      </w:r>
      <w:r>
        <w:rPr>
          <w:rFonts w:hint="eastAsia" w:ascii="仿宋" w:hAnsi="仿宋" w:eastAsia="仿宋"/>
          <w:sz w:val="32"/>
        </w:rPr>
        <w:t>人,共计</w:t>
      </w:r>
      <w:r>
        <w:rPr>
          <w:rFonts w:hint="eastAsia" w:ascii="仿宋" w:hAnsi="仿宋"/>
          <w:sz w:val="32"/>
        </w:rPr>
        <w:t>3168.19</w:t>
      </w:r>
      <w:r>
        <w:rPr>
          <w:rFonts w:hint="eastAsia" w:ascii="仿宋" w:hAnsi="仿宋" w:eastAsia="仿宋"/>
          <w:sz w:val="32"/>
        </w:rPr>
        <w:t xml:space="preserve">万元。 </w:t>
      </w:r>
    </w:p>
    <w:p>
      <w:pPr>
        <w:adjustRightInd w:val="0"/>
        <w:snapToGrid w:val="0"/>
        <w:spacing w:line="360" w:lineRule="auto"/>
        <w:ind w:firstLine="643" w:firstLineChars="200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1、项目立项内容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根据要求，四城区共发放军人一次性抚恤金的使用和管理列入绩效评价项目。201</w:t>
      </w:r>
      <w:r>
        <w:rPr>
          <w:rFonts w:hint="eastAsia" w:ascii="仿宋" w:hAnsi="仿宋"/>
          <w:sz w:val="32"/>
        </w:rPr>
        <w:t>7</w:t>
      </w:r>
      <w:r>
        <w:rPr>
          <w:rFonts w:hint="eastAsia" w:ascii="仿宋" w:hAnsi="仿宋" w:eastAsia="仿宋"/>
          <w:sz w:val="32"/>
        </w:rPr>
        <w:t>年项目年初预算为</w:t>
      </w:r>
      <w:r>
        <w:rPr>
          <w:rFonts w:hint="eastAsia" w:ascii="仿宋" w:hAnsi="仿宋"/>
          <w:sz w:val="32"/>
        </w:rPr>
        <w:t>2</w:t>
      </w:r>
      <w:r>
        <w:rPr>
          <w:rFonts w:hint="eastAsia" w:ascii="仿宋" w:hAnsi="仿宋" w:eastAsia="仿宋"/>
          <w:sz w:val="32"/>
        </w:rPr>
        <w:t>800万元。</w:t>
      </w:r>
    </w:p>
    <w:p>
      <w:pPr>
        <w:adjustRightInd w:val="0"/>
        <w:snapToGrid w:val="0"/>
        <w:spacing w:line="360" w:lineRule="auto"/>
        <w:ind w:firstLine="643" w:firstLineChars="200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2、项目的实施依据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根据《国务院和中央军委关于修改〈军人抚恤优待条例〉的决定》（国务院和中央军委602号令），《福建省实施〈军人抚恤优待条例〉办法》（省政府令第</w:t>
      </w:r>
      <w:r>
        <w:rPr>
          <w:rFonts w:hint="eastAsia" w:ascii="仿宋" w:hAnsi="仿宋"/>
          <w:sz w:val="32"/>
        </w:rPr>
        <w:t>139</w:t>
      </w:r>
      <w:r>
        <w:rPr>
          <w:rFonts w:hint="eastAsia" w:ascii="仿宋" w:hAnsi="仿宋" w:eastAsia="仿宋"/>
          <w:sz w:val="32"/>
        </w:rPr>
        <w:t>号），将四城区军人一次性抚恤金列入市级财政预算，并设立专户、专账，实行专款专用。</w:t>
      </w:r>
    </w:p>
    <w:p>
      <w:pPr>
        <w:adjustRightInd w:val="0"/>
        <w:snapToGrid w:val="0"/>
        <w:spacing w:line="360" w:lineRule="auto"/>
        <w:ind w:firstLine="643" w:firstLineChars="200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b/>
          <w:sz w:val="32"/>
        </w:rPr>
        <w:t>3</w:t>
      </w:r>
      <w:r>
        <w:rPr>
          <w:rFonts w:hint="eastAsia" w:ascii="仿宋" w:hAnsi="仿宋" w:eastAsia="仿宋"/>
          <w:sz w:val="32"/>
        </w:rPr>
        <w:t>、</w:t>
      </w:r>
      <w:r>
        <w:rPr>
          <w:rFonts w:hint="eastAsia" w:ascii="仿宋" w:hAnsi="仿宋" w:eastAsia="仿宋"/>
          <w:b/>
          <w:sz w:val="32"/>
        </w:rPr>
        <w:t>主要社会效益：</w:t>
      </w:r>
      <w:r>
        <w:rPr>
          <w:rFonts w:hint="eastAsia" w:ascii="仿宋" w:hAnsi="仿宋" w:eastAsia="仿宋"/>
          <w:sz w:val="32"/>
        </w:rPr>
        <w:t>201</w:t>
      </w:r>
      <w:r>
        <w:rPr>
          <w:rFonts w:hint="eastAsia" w:ascii="仿宋" w:hAnsi="仿宋"/>
          <w:sz w:val="32"/>
        </w:rPr>
        <w:t>7</w:t>
      </w:r>
      <w:r>
        <w:rPr>
          <w:rFonts w:hint="eastAsia" w:ascii="仿宋" w:hAnsi="仿宋" w:eastAsia="仿宋"/>
          <w:sz w:val="32"/>
        </w:rPr>
        <w:t>年，市级财政共安排2800万元用于四城区军人一次性抚恤金发放，确保遗属户籍在四城区的军人一次性抚恤金按时足额发放，保障了军人合法权益，实现了良好的社会效益。</w:t>
      </w:r>
    </w:p>
    <w:p>
      <w:pPr>
        <w:adjustRightInd w:val="0"/>
        <w:snapToGrid w:val="0"/>
        <w:spacing w:line="360" w:lineRule="auto"/>
        <w:ind w:firstLine="643" w:firstLineChars="200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（二）项目执行基本情况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 w:cs="宋体"/>
          <w:color w:val="000000"/>
          <w:sz w:val="32"/>
          <w:szCs w:val="32"/>
        </w:rPr>
      </w:pPr>
      <w:r>
        <w:rPr>
          <w:rFonts w:hint="eastAsia" w:ascii="仿宋" w:hAnsi="仿宋" w:eastAsia="仿宋"/>
          <w:sz w:val="32"/>
        </w:rPr>
        <w:t>本项目201</w:t>
      </w:r>
      <w:r>
        <w:rPr>
          <w:rFonts w:hint="eastAsia" w:ascii="仿宋" w:hAnsi="仿宋"/>
          <w:sz w:val="32"/>
        </w:rPr>
        <w:t>7</w:t>
      </w:r>
      <w:r>
        <w:rPr>
          <w:rFonts w:hint="eastAsia" w:ascii="仿宋" w:hAnsi="仿宋" w:eastAsia="仿宋"/>
          <w:sz w:val="32"/>
        </w:rPr>
        <w:t>年预算安排</w:t>
      </w:r>
      <w:r>
        <w:rPr>
          <w:rFonts w:hint="eastAsia" w:ascii="仿宋" w:hAnsi="仿宋"/>
          <w:sz w:val="32"/>
        </w:rPr>
        <w:t>2</w:t>
      </w:r>
      <w:r>
        <w:rPr>
          <w:rFonts w:hint="eastAsia" w:ascii="仿宋" w:hAnsi="仿宋" w:eastAsia="仿宋"/>
          <w:sz w:val="32"/>
        </w:rPr>
        <w:t>800万元，上年度结余</w:t>
      </w:r>
      <w:r>
        <w:rPr>
          <w:rFonts w:hint="eastAsia" w:ascii="仿宋" w:hAnsi="仿宋"/>
          <w:sz w:val="32"/>
        </w:rPr>
        <w:t>399.99</w:t>
      </w:r>
      <w:r>
        <w:rPr>
          <w:rFonts w:hint="eastAsia" w:ascii="仿宋" w:hAnsi="仿宋" w:eastAsia="仿宋"/>
          <w:sz w:val="32"/>
        </w:rPr>
        <w:t>万元 。本年度预算实际申请</w:t>
      </w:r>
      <w:r>
        <w:rPr>
          <w:rFonts w:hint="eastAsia" w:ascii="仿宋" w:hAnsi="仿宋"/>
          <w:sz w:val="32"/>
        </w:rPr>
        <w:t>28</w:t>
      </w:r>
      <w:r>
        <w:rPr>
          <w:rFonts w:hint="eastAsia" w:ascii="仿宋" w:hAnsi="仿宋" w:eastAsia="仿宋"/>
          <w:sz w:val="32"/>
        </w:rPr>
        <w:t>00万元，发放</w:t>
      </w:r>
      <w:r>
        <w:rPr>
          <w:rFonts w:hint="eastAsia" w:ascii="仿宋" w:hAnsi="仿宋"/>
          <w:sz w:val="32"/>
        </w:rPr>
        <w:t>3168.19</w:t>
      </w:r>
      <w:r>
        <w:rPr>
          <w:rFonts w:hint="eastAsia" w:ascii="仿宋" w:hAnsi="仿宋" w:eastAsia="仿宋"/>
          <w:sz w:val="32"/>
        </w:rPr>
        <w:t>万元，结余</w:t>
      </w:r>
      <w:r>
        <w:rPr>
          <w:rFonts w:hint="eastAsia" w:ascii="仿宋" w:hAnsi="仿宋"/>
          <w:sz w:val="32"/>
        </w:rPr>
        <w:t>31.8</w:t>
      </w:r>
      <w:r>
        <w:rPr>
          <w:rFonts w:hint="eastAsia" w:ascii="仿宋" w:hAnsi="仿宋" w:eastAsia="仿宋"/>
          <w:sz w:val="32"/>
        </w:rPr>
        <w:t>万元。</w:t>
      </w:r>
    </w:p>
    <w:p>
      <w:pPr>
        <w:adjustRightInd w:val="0"/>
        <w:snapToGrid w:val="0"/>
        <w:spacing w:line="360" w:lineRule="auto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  <w:lang w:eastAsia="zh-CN"/>
        </w:rPr>
        <w:t>二</w:t>
      </w:r>
      <w:r>
        <w:rPr>
          <w:rFonts w:hint="eastAsia" w:ascii="仿宋" w:hAnsi="仿宋" w:eastAsia="仿宋"/>
          <w:b/>
          <w:sz w:val="32"/>
        </w:rPr>
        <w:t>、项目绩效评价结论</w:t>
      </w:r>
    </w:p>
    <w:p>
      <w:pPr>
        <w:adjustRightInd w:val="0"/>
        <w:snapToGrid w:val="0"/>
        <w:spacing w:line="360" w:lineRule="auto"/>
        <w:ind w:firstLine="643" w:firstLineChars="200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（一）项目绩效评价得分及等级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项目绩效评价得分为</w:t>
      </w:r>
      <w:r>
        <w:rPr>
          <w:rFonts w:hint="eastAsia" w:ascii="仿宋" w:hAnsi="仿宋" w:eastAsia="仿宋"/>
          <w:sz w:val="32"/>
          <w:lang w:val="en-US" w:eastAsia="zh-CN"/>
        </w:rPr>
        <w:t>85.06</w:t>
      </w:r>
      <w:r>
        <w:rPr>
          <w:rFonts w:hint="eastAsia" w:ascii="仿宋" w:hAnsi="仿宋" w:eastAsia="仿宋"/>
          <w:sz w:val="32"/>
        </w:rPr>
        <w:t>分，等级为</w:t>
      </w:r>
      <w:r>
        <w:rPr>
          <w:rFonts w:hint="eastAsia" w:ascii="仿宋" w:hAnsi="仿宋" w:eastAsia="仿宋"/>
          <w:sz w:val="32"/>
          <w:lang w:eastAsia="zh-CN"/>
        </w:rPr>
        <w:t>良好</w:t>
      </w:r>
      <w:r>
        <w:rPr>
          <w:rFonts w:hint="eastAsia" w:ascii="仿宋" w:hAnsi="仿宋" w:eastAsia="仿宋"/>
          <w:sz w:val="32"/>
        </w:rPr>
        <w:t>。</w:t>
      </w:r>
    </w:p>
    <w:p>
      <w:pPr>
        <w:adjustRightInd w:val="0"/>
        <w:snapToGrid w:val="0"/>
        <w:spacing w:line="360" w:lineRule="auto"/>
        <w:ind w:firstLine="643" w:firstLineChars="200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（二）项目绩效目标实现情况分析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2017年本项目年初设定绩效目标为</w:t>
      </w:r>
      <w:r>
        <w:rPr>
          <w:rFonts w:hint="eastAsia" w:ascii="仿宋" w:hAnsi="仿宋" w:eastAsia="仿宋"/>
          <w:sz w:val="32"/>
          <w:lang w:eastAsia="zh-CN"/>
        </w:rPr>
        <w:t>：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eastAsia="zh-CN"/>
        </w:rPr>
        <w:t>（</w:t>
      </w:r>
      <w:r>
        <w:rPr>
          <w:rFonts w:hint="eastAsia" w:ascii="仿宋" w:hAnsi="仿宋" w:eastAsia="仿宋"/>
          <w:sz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lang w:eastAsia="zh-CN"/>
        </w:rPr>
        <w:t>）</w:t>
      </w:r>
      <w:r>
        <w:rPr>
          <w:rFonts w:hint="eastAsia" w:ascii="仿宋" w:hAnsi="仿宋" w:eastAsia="仿宋"/>
          <w:sz w:val="32"/>
        </w:rPr>
        <w:t>时效目标，绩效目标内容是</w:t>
      </w:r>
      <w:r>
        <w:rPr>
          <w:rFonts w:hint="eastAsia" w:ascii="仿宋" w:hAnsi="仿宋" w:eastAsia="仿宋"/>
          <w:sz w:val="32"/>
          <w:lang w:eastAsia="zh-CN"/>
        </w:rPr>
        <w:t>目标完成率</w:t>
      </w:r>
      <w:r>
        <w:rPr>
          <w:rFonts w:hint="eastAsia" w:ascii="仿宋" w:hAnsi="仿宋" w:eastAsia="仿宋"/>
          <w:sz w:val="32"/>
        </w:rPr>
        <w:t>，绩效目标值是</w:t>
      </w:r>
      <w:r>
        <w:rPr>
          <w:rFonts w:hint="eastAsia" w:ascii="仿宋" w:hAnsi="仿宋" w:eastAsia="仿宋"/>
          <w:sz w:val="32"/>
          <w:lang w:val="en-US" w:eastAsia="zh-CN"/>
        </w:rPr>
        <w:t>100%</w:t>
      </w:r>
      <w:r>
        <w:rPr>
          <w:rFonts w:hint="eastAsia" w:ascii="仿宋" w:hAnsi="仿宋" w:eastAsia="仿宋"/>
          <w:sz w:val="32"/>
        </w:rPr>
        <w:t>完成。实际完成情况为</w:t>
      </w:r>
      <w:r>
        <w:rPr>
          <w:rFonts w:hint="eastAsia" w:ascii="仿宋" w:hAnsi="仿宋" w:eastAsia="仿宋"/>
          <w:sz w:val="32"/>
          <w:lang w:val="en-US" w:eastAsia="zh-CN"/>
        </w:rPr>
        <w:t>100%</w:t>
      </w:r>
      <w:r>
        <w:rPr>
          <w:rFonts w:hint="eastAsia" w:ascii="仿宋" w:hAnsi="仿宋" w:eastAsia="仿宋"/>
          <w:sz w:val="32"/>
        </w:rPr>
        <w:t>完成。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eastAsia="zh-CN"/>
        </w:rPr>
        <w:t>（</w:t>
      </w:r>
      <w:r>
        <w:rPr>
          <w:rFonts w:hint="eastAsia" w:ascii="仿宋" w:hAnsi="仿宋" w:eastAsia="仿宋"/>
          <w:sz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lang w:eastAsia="zh-CN"/>
        </w:rPr>
        <w:t>）</w:t>
      </w:r>
      <w:r>
        <w:rPr>
          <w:rFonts w:hint="eastAsia" w:ascii="仿宋" w:hAnsi="仿宋" w:eastAsia="仿宋"/>
          <w:sz w:val="32"/>
        </w:rPr>
        <w:t>成本目标，绩效目标内容是预算执行率，绩效目标值是不低于95%</w:t>
      </w:r>
      <w:r>
        <w:rPr>
          <w:rFonts w:hint="eastAsia" w:ascii="仿宋" w:hAnsi="仿宋" w:eastAsia="仿宋"/>
          <w:sz w:val="32"/>
          <w:lang w:eastAsia="zh-CN"/>
        </w:rPr>
        <w:t>，实际预算执行率为</w:t>
      </w:r>
      <w:r>
        <w:rPr>
          <w:rFonts w:hint="eastAsia" w:ascii="仿宋" w:hAnsi="仿宋" w:eastAsia="仿宋"/>
          <w:sz w:val="32"/>
          <w:lang w:val="en-US" w:eastAsia="zh-CN"/>
        </w:rPr>
        <w:t>98.86%，目标</w:t>
      </w:r>
      <w:r>
        <w:rPr>
          <w:rFonts w:hint="eastAsia" w:ascii="仿宋" w:hAnsi="仿宋" w:eastAsia="仿宋"/>
          <w:sz w:val="32"/>
        </w:rPr>
        <w:t>完成情况为</w:t>
      </w:r>
      <w:r>
        <w:rPr>
          <w:rFonts w:hint="eastAsia" w:ascii="仿宋" w:hAnsi="仿宋" w:eastAsia="仿宋"/>
          <w:sz w:val="32"/>
          <w:lang w:val="en-US" w:eastAsia="zh-CN"/>
        </w:rPr>
        <w:t>104.1</w:t>
      </w:r>
      <w:r>
        <w:rPr>
          <w:rFonts w:hint="eastAsia" w:ascii="仿宋" w:hAnsi="仿宋" w:eastAsia="仿宋"/>
          <w:sz w:val="32"/>
        </w:rPr>
        <w:t>%。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（3）数量目标：死亡抚恤金发放人数不高于100人。</w:t>
      </w:r>
      <w:r>
        <w:rPr>
          <w:rFonts w:hint="eastAsia" w:ascii="仿宋" w:hAnsi="仿宋" w:eastAsia="仿宋"/>
          <w:sz w:val="32"/>
          <w:lang w:eastAsia="zh-CN"/>
        </w:rPr>
        <w:t>实际发放</w:t>
      </w:r>
      <w:r>
        <w:rPr>
          <w:rFonts w:hint="eastAsia" w:ascii="仿宋" w:hAnsi="仿宋" w:eastAsia="仿宋"/>
          <w:sz w:val="32"/>
          <w:lang w:val="en-US" w:eastAsia="zh-CN"/>
        </w:rPr>
        <w:t>82人，完成率100%。</w:t>
      </w:r>
    </w:p>
    <w:p>
      <w:pPr>
        <w:adjustRightInd w:val="0"/>
        <w:snapToGrid w:val="0"/>
        <w:spacing w:line="360" w:lineRule="auto"/>
        <w:ind w:firstLine="640" w:firstLineChars="200"/>
        <w:rPr>
          <w:rFonts w:hint="eastAsia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2"/>
        </w:rPr>
        <w:t>（4）社会效益目标：受益军人家庭户数不高于</w:t>
      </w:r>
      <w:r>
        <w:rPr>
          <w:rFonts w:hint="eastAsia" w:ascii="仿宋" w:hAnsi="仿宋" w:eastAsia="仿宋"/>
          <w:sz w:val="32"/>
          <w:lang w:val="en-US" w:eastAsia="zh-CN"/>
        </w:rPr>
        <w:t>100</w:t>
      </w:r>
      <w:r>
        <w:rPr>
          <w:rFonts w:hint="eastAsia" w:ascii="仿宋" w:hAnsi="仿宋" w:eastAsia="仿宋"/>
          <w:sz w:val="32"/>
        </w:rPr>
        <w:t>户。</w:t>
      </w:r>
      <w:r>
        <w:rPr>
          <w:rFonts w:hint="eastAsia" w:ascii="仿宋" w:hAnsi="仿宋" w:eastAsia="仿宋"/>
          <w:sz w:val="32"/>
          <w:lang w:eastAsia="zh-CN"/>
        </w:rPr>
        <w:t>实际收益户数</w:t>
      </w:r>
      <w:r>
        <w:rPr>
          <w:rFonts w:hint="eastAsia" w:ascii="仿宋" w:hAnsi="仿宋" w:eastAsia="仿宋"/>
          <w:sz w:val="32"/>
          <w:lang w:val="en-US" w:eastAsia="zh-CN"/>
        </w:rPr>
        <w:t>82户，完成率100%。</w:t>
      </w:r>
    </w:p>
    <w:p>
      <w:pPr>
        <w:adjustRightInd w:val="0"/>
        <w:snapToGrid w:val="0"/>
        <w:spacing w:line="360" w:lineRule="auto"/>
        <w:ind w:firstLine="643" w:firstLineChars="200"/>
        <w:rPr>
          <w:rFonts w:hint="eastAsia" w:ascii="仿宋" w:hAnsi="仿宋" w:eastAsia="仿宋"/>
          <w:b/>
          <w:sz w:val="32"/>
        </w:rPr>
      </w:pPr>
      <w:r>
        <w:rPr>
          <w:rFonts w:hint="eastAsia" w:ascii="仿宋" w:hAnsi="仿宋" w:eastAsia="仿宋"/>
          <w:b/>
          <w:sz w:val="32"/>
        </w:rPr>
        <w:t>（</w:t>
      </w:r>
      <w:r>
        <w:rPr>
          <w:rFonts w:hint="eastAsia" w:ascii="仿宋" w:hAnsi="仿宋" w:eastAsia="仿宋"/>
          <w:b/>
          <w:sz w:val="32"/>
          <w:lang w:eastAsia="zh-CN"/>
        </w:rPr>
        <w:t>三</w:t>
      </w:r>
      <w:r>
        <w:rPr>
          <w:rFonts w:hint="eastAsia" w:ascii="仿宋" w:hAnsi="仿宋" w:eastAsia="仿宋"/>
          <w:b/>
          <w:sz w:val="32"/>
        </w:rPr>
        <w:t>）项目实施中存在的问题和改进</w:t>
      </w:r>
      <w:r>
        <w:rPr>
          <w:rFonts w:hint="eastAsia" w:ascii="仿宋" w:hAnsi="仿宋" w:eastAsia="仿宋"/>
          <w:b/>
          <w:sz w:val="32"/>
          <w:lang w:eastAsia="zh-CN"/>
        </w:rPr>
        <w:t>建议</w:t>
      </w:r>
    </w:p>
    <w:p>
      <w:pPr>
        <w:ind w:firstLine="640" w:firstLineChars="200"/>
        <w:rPr>
          <w:rFonts w:hint="eastAsia" w:ascii="仿宋_GB2312" w:hAnsi="宋体" w:eastAsia="仿宋_GB2312"/>
          <w:kern w:val="0"/>
          <w:sz w:val="32"/>
          <w:lang w:eastAsia="zh-CN"/>
        </w:rPr>
      </w:pPr>
      <w:r>
        <w:rPr>
          <w:rFonts w:hint="eastAsia" w:ascii="仿宋_GB2312" w:hAnsi="宋体" w:eastAsia="仿宋_GB2312"/>
          <w:kern w:val="0"/>
          <w:sz w:val="32"/>
          <w:lang w:eastAsia="zh-CN"/>
        </w:rPr>
        <w:t>1、在军人抚恤优待管理上，规范化制度不足。</w:t>
      </w:r>
    </w:p>
    <w:p>
      <w:pPr>
        <w:ind w:firstLine="640" w:firstLineChars="200"/>
        <w:rPr>
          <w:rFonts w:hint="eastAsia" w:ascii="仿宋_GB2312" w:hAnsi="宋体" w:eastAsia="仿宋_GB2312"/>
          <w:kern w:val="0"/>
          <w:sz w:val="32"/>
          <w:lang w:eastAsia="zh-CN"/>
        </w:rPr>
      </w:pPr>
      <w:r>
        <w:rPr>
          <w:rFonts w:hint="eastAsia" w:ascii="仿宋_GB2312" w:hAnsi="宋体" w:eastAsia="仿宋_GB2312"/>
          <w:kern w:val="0"/>
          <w:sz w:val="32"/>
          <w:lang w:eastAsia="zh-CN"/>
        </w:rPr>
        <w:t>建议：根据《国务院和中央军委关于修改〈军人抚恤优待条例〉的决定》（国务院和中央军委602号令），《福建省实施〈军人抚恤优待条例〉办法》（省政府令第139号）等文件精神，强化各级民政部门的责任意识，加强对军人抚恤金使用和管理的监督力度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AF5245"/>
    <w:rsid w:val="306C4368"/>
    <w:rsid w:val="68AF5245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2018-09-11T02:28:00Z</dcterms:created>
  <dc:creator>Administrator</dc:creator>
  <cp:lastModifiedBy>Administrator</cp:lastModifiedBy>
  <dcterms:modified xsi:type="dcterms:W3CDTF">2018-09-28T02:50:34Z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