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2017年</w:t>
      </w:r>
      <w:r>
        <w:rPr>
          <w:rFonts w:hint="eastAsia" w:ascii="方正小标宋简体" w:eastAsia="方正小标宋简体"/>
          <w:sz w:val="44"/>
          <w:szCs w:val="44"/>
        </w:rPr>
        <w:t>城乡保障标准与物价上涨挂钩联动机制补助金项目绩效自评报告</w:t>
      </w:r>
    </w:p>
    <w:p>
      <w:pPr>
        <w:spacing w:line="620" w:lineRule="exact"/>
        <w:jc w:val="center"/>
        <w:rPr>
          <w:rFonts w:hint="eastAsia" w:ascii="仿宋" w:hAnsi="仿宋" w:eastAsia="仿宋"/>
          <w:kern w:val="0"/>
          <w:sz w:val="32"/>
          <w:szCs w:val="32"/>
        </w:rPr>
      </w:pPr>
    </w:p>
    <w:p>
      <w:pPr>
        <w:numPr>
          <w:ilvl w:val="0"/>
          <w:numId w:val="1"/>
        </w:numPr>
        <w:spacing w:line="620" w:lineRule="exact"/>
        <w:ind w:firstLine="643" w:firstLineChars="200"/>
        <w:rPr>
          <w:rFonts w:hint="eastAsia" w:ascii="仿宋" w:hAnsi="仿宋" w:eastAsia="仿宋"/>
          <w:b/>
          <w:kern w:val="0"/>
          <w:sz w:val="32"/>
          <w:szCs w:val="32"/>
        </w:rPr>
      </w:pPr>
      <w:r>
        <w:rPr>
          <w:rFonts w:hint="eastAsia" w:ascii="仿宋" w:hAnsi="仿宋" w:eastAsia="仿宋"/>
          <w:b/>
          <w:kern w:val="0"/>
          <w:sz w:val="32"/>
          <w:szCs w:val="32"/>
        </w:rPr>
        <w:t>项目总体情况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olor w:val="auto"/>
          <w:sz w:val="32"/>
          <w:highlight w:val="none"/>
        </w:rPr>
      </w:pPr>
      <w:r>
        <w:rPr>
          <w:rFonts w:hint="eastAsia" w:ascii="仿宋_GB2312" w:hAnsi="仿宋_GB2312" w:eastAsia="仿宋_GB2312"/>
          <w:color w:val="auto"/>
          <w:sz w:val="32"/>
          <w:highlight w:val="none"/>
        </w:rPr>
        <w:t>我市社会救助工作以党的十八大及十八届三中、四中、五中</w:t>
      </w:r>
      <w:r>
        <w:rPr>
          <w:rFonts w:hint="eastAsia" w:ascii="仿宋_GB2312" w:hAnsi="仿宋_GB2312" w:eastAsia="仿宋_GB2312"/>
          <w:color w:val="auto"/>
          <w:sz w:val="32"/>
          <w:highlight w:val="none"/>
          <w:lang w:eastAsia="zh-CN"/>
        </w:rPr>
        <w:t>、六中</w:t>
      </w:r>
      <w:r>
        <w:rPr>
          <w:rFonts w:hint="eastAsia" w:ascii="仿宋_GB2312" w:hAnsi="仿宋_GB2312" w:eastAsia="仿宋_GB2312"/>
          <w:color w:val="auto"/>
          <w:sz w:val="32"/>
          <w:highlight w:val="none"/>
        </w:rPr>
        <w:t>全会精神</w:t>
      </w:r>
      <w:r>
        <w:rPr>
          <w:rFonts w:hint="eastAsia" w:ascii="仿宋_GB2312" w:hAnsi="仿宋_GB2312" w:eastAsia="仿宋_GB2312"/>
          <w:color w:val="auto"/>
          <w:sz w:val="32"/>
          <w:highlight w:val="none"/>
          <w:lang w:eastAsia="zh-CN"/>
        </w:rPr>
        <w:t>及党的十九大精神</w:t>
      </w:r>
      <w:r>
        <w:rPr>
          <w:rFonts w:hint="eastAsia" w:ascii="仿宋_GB2312" w:hAnsi="仿宋_GB2312" w:eastAsia="仿宋_GB2312"/>
          <w:color w:val="auto"/>
          <w:sz w:val="32"/>
          <w:highlight w:val="none"/>
        </w:rPr>
        <w:t>为指导，以“十三五”规划为引领，稳中求进，把“打赢脱贫攻坚战”的要求落实到</w:t>
      </w:r>
      <w:r>
        <w:rPr>
          <w:rFonts w:hint="eastAsia" w:ascii="仿宋_GB2312" w:hAnsi="仿宋_GB2312" w:eastAsia="仿宋_GB2312"/>
          <w:color w:val="auto"/>
          <w:sz w:val="32"/>
          <w:highlight w:val="none"/>
          <w:lang w:eastAsia="zh-CN"/>
        </w:rPr>
        <w:t>社会救助工作</w:t>
      </w:r>
      <w:r>
        <w:rPr>
          <w:rFonts w:hint="eastAsia" w:ascii="仿宋_GB2312" w:hAnsi="仿宋_GB2312" w:eastAsia="仿宋_GB2312"/>
          <w:color w:val="auto"/>
          <w:sz w:val="32"/>
          <w:highlight w:val="none"/>
        </w:rPr>
        <w:t>中</w:t>
      </w:r>
      <w:r>
        <w:rPr>
          <w:rFonts w:hint="eastAsia" w:ascii="仿宋_GB2312" w:hAnsi="仿宋_GB2312" w:eastAsia="仿宋_GB2312"/>
          <w:color w:val="auto"/>
          <w:sz w:val="32"/>
          <w:highlight w:val="none"/>
          <w:lang w:eastAsia="zh-CN"/>
        </w:rPr>
        <w:t>。</w:t>
      </w:r>
      <w:r>
        <w:rPr>
          <w:rFonts w:hint="eastAsia" w:ascii="仿宋_GB2312" w:hAnsi="仿宋_GB2312" w:eastAsia="仿宋_GB2312"/>
          <w:color w:val="auto"/>
          <w:sz w:val="32"/>
          <w:highlight w:val="none"/>
        </w:rPr>
        <w:t>认真落实《社会救助暂行办法》，健全</w:t>
      </w:r>
      <w:r>
        <w:rPr>
          <w:rFonts w:hint="eastAsia" w:ascii="仿宋_GB2312" w:hAnsi="仿宋_GB2312" w:eastAsia="仿宋_GB2312"/>
          <w:color w:val="auto"/>
          <w:sz w:val="32"/>
          <w:highlight w:val="none"/>
          <w:lang w:eastAsia="zh-CN"/>
        </w:rPr>
        <w:t>完善</w:t>
      </w:r>
      <w:r>
        <w:rPr>
          <w:rFonts w:hint="eastAsia" w:ascii="仿宋_GB2312" w:hAnsi="仿宋_GB2312" w:eastAsia="仿宋_GB2312"/>
          <w:color w:val="auto"/>
          <w:sz w:val="32"/>
          <w:highlight w:val="none"/>
        </w:rPr>
        <w:t>我市社会救助体系，着力推进城乡低保规范化建设，大力开展城乡医疗救助、五保供养、临时救助、住房救助等工作，切实保障了我市城乡困难群众的基本生活。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rPr>
      </w:pPr>
      <w:r>
        <w:rPr>
          <w:rFonts w:hint="eastAsia" w:ascii="仿宋_GB2312" w:hAnsi="宋体" w:eastAsia="仿宋_GB2312"/>
          <w:color w:val="auto"/>
          <w:sz w:val="32"/>
          <w:highlight w:val="none"/>
        </w:rPr>
        <w:t>根据榕政综[2014]140号和《福州市人民政府关于调整社会救助和保障标准与物价上涨挂钩联动机制的通知》（榕政综〔2017〕75号）文件及近年来我市物价联动机制启动情况，我市统一市、县价格补贴标准，价格补贴资金在扣除省级补助资金后五城区由市级价格调节基金全额补助，闽清县、罗源县、永泰县由市、县财政各承担50%，按启动6个月，每个月50元标准计算。</w:t>
      </w:r>
      <w:r>
        <w:rPr>
          <w:rFonts w:hint="eastAsia" w:ascii="仿宋_GB2312" w:hAnsi="宋体" w:eastAsia="仿宋_GB2312"/>
          <w:color w:val="auto"/>
          <w:sz w:val="32"/>
          <w:highlight w:val="none"/>
          <w:lang w:val="en-US" w:eastAsia="zh-CN"/>
        </w:rPr>
        <w:t>2017年</w:t>
      </w:r>
      <w:r>
        <w:rPr>
          <w:rFonts w:hint="eastAsia" w:ascii="仿宋_GB2312" w:hAnsi="宋体" w:eastAsia="仿宋_GB2312"/>
          <w:color w:val="auto"/>
          <w:sz w:val="32"/>
          <w:highlight w:val="none"/>
        </w:rPr>
        <w:t>全年</w:t>
      </w:r>
      <w:r>
        <w:rPr>
          <w:rFonts w:hint="eastAsia" w:ascii="仿宋_GB2312" w:hAnsi="宋体" w:eastAsia="仿宋_GB2312"/>
          <w:color w:val="auto"/>
          <w:sz w:val="32"/>
          <w:highlight w:val="none"/>
          <w:lang w:eastAsia="zh-CN"/>
        </w:rPr>
        <w:t>物价联动补助资金</w:t>
      </w:r>
      <w:r>
        <w:rPr>
          <w:rFonts w:hint="eastAsia" w:ascii="仿宋_GB2312" w:hAnsi="宋体" w:eastAsia="仿宋_GB2312"/>
          <w:color w:val="auto"/>
          <w:sz w:val="32"/>
          <w:highlight w:val="none"/>
        </w:rPr>
        <w:t>的管理、使用总体情况如下：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lang w:val="en-US" w:eastAsia="zh-CN"/>
        </w:rPr>
      </w:pPr>
      <w:r>
        <w:rPr>
          <w:rFonts w:hint="eastAsia" w:ascii="仿宋_GB2312" w:hAnsi="宋体" w:eastAsia="仿宋_GB2312"/>
          <w:color w:val="auto"/>
          <w:sz w:val="32"/>
          <w:highlight w:val="none"/>
          <w:lang w:val="en-US" w:eastAsia="zh-CN"/>
        </w:rPr>
        <w:t>2017年1月，全市居民消费价格指数CPI同比上涨2.9%，食品类消费价格指数上涨0.4%,2017年3月，福州市财政局、福州市民政局联合下达了《福州市财政局 福州市民政局关于下达2017年第1期价格联动机制补助资金的通知》</w:t>
      </w:r>
      <w:r>
        <w:rPr>
          <w:rFonts w:hint="eastAsia" w:ascii="仿宋_GB2312" w:hAnsi="宋体" w:eastAsia="仿宋_GB2312"/>
          <w:color w:val="auto"/>
          <w:sz w:val="32"/>
          <w:highlight w:val="none"/>
        </w:rPr>
        <w:t>（榕</w:t>
      </w:r>
      <w:r>
        <w:rPr>
          <w:rFonts w:hint="eastAsia" w:ascii="仿宋_GB2312" w:hAnsi="宋体" w:eastAsia="仿宋_GB2312"/>
          <w:color w:val="auto"/>
          <w:sz w:val="32"/>
          <w:highlight w:val="none"/>
          <w:lang w:eastAsia="zh-CN"/>
        </w:rPr>
        <w:t>财社（指）</w:t>
      </w:r>
      <w:r>
        <w:rPr>
          <w:rFonts w:hint="eastAsia" w:ascii="仿宋_GB2312" w:hAnsi="宋体" w:eastAsia="仿宋_GB2312"/>
          <w:color w:val="auto"/>
          <w:sz w:val="32"/>
          <w:highlight w:val="none"/>
        </w:rPr>
        <w:t>〔2017〕</w:t>
      </w:r>
      <w:r>
        <w:rPr>
          <w:rFonts w:hint="eastAsia" w:ascii="仿宋_GB2312" w:hAnsi="宋体" w:eastAsia="仿宋_GB2312"/>
          <w:color w:val="auto"/>
          <w:sz w:val="32"/>
          <w:highlight w:val="none"/>
          <w:lang w:val="en-US" w:eastAsia="zh-CN"/>
        </w:rPr>
        <w:t>27</w:t>
      </w:r>
      <w:r>
        <w:rPr>
          <w:rFonts w:hint="eastAsia" w:ascii="仿宋_GB2312" w:hAnsi="宋体" w:eastAsia="仿宋_GB2312"/>
          <w:color w:val="auto"/>
          <w:sz w:val="32"/>
          <w:highlight w:val="none"/>
        </w:rPr>
        <w:t>号）</w:t>
      </w:r>
      <w:r>
        <w:rPr>
          <w:rFonts w:hint="eastAsia" w:ascii="仿宋_GB2312" w:hAnsi="宋体" w:eastAsia="仿宋_GB2312"/>
          <w:color w:val="auto"/>
          <w:sz w:val="32"/>
          <w:highlight w:val="none"/>
          <w:lang w:eastAsia="zh-CN"/>
        </w:rPr>
        <w:t>，下拨第一期价格补贴联动机制市级补助金</w:t>
      </w:r>
      <w:r>
        <w:rPr>
          <w:rFonts w:hint="eastAsia" w:ascii="仿宋_GB2312" w:hAnsi="宋体" w:eastAsia="仿宋_GB2312"/>
          <w:color w:val="auto"/>
          <w:sz w:val="32"/>
          <w:highlight w:val="none"/>
          <w:lang w:val="en-US" w:eastAsia="zh-CN"/>
        </w:rPr>
        <w:t>111.8325万元。其中鼓楼区5万元、台江区10.205万元、仓山区23.89万元、晋安区12.805万元、马尾区10.93万元、闽清县12.7425万元、罗源县18.775万元、永泰县17.485万元。</w:t>
      </w:r>
    </w:p>
    <w:p>
      <w:pPr>
        <w:spacing w:line="620" w:lineRule="exact"/>
        <w:ind w:firstLine="600"/>
        <w:rPr>
          <w:rFonts w:hint="eastAsia" w:ascii="仿宋" w:hAnsi="仿宋" w:eastAsia="仿宋"/>
          <w:b/>
          <w:kern w:val="0"/>
          <w:sz w:val="32"/>
          <w:szCs w:val="32"/>
        </w:rPr>
      </w:pPr>
      <w:r>
        <w:rPr>
          <w:rFonts w:hint="eastAsia" w:ascii="仿宋" w:hAnsi="仿宋" w:eastAsia="仿宋"/>
          <w:b/>
          <w:kern w:val="0"/>
          <w:sz w:val="32"/>
          <w:szCs w:val="32"/>
        </w:rPr>
        <w:t>二、项目绩效自评结论（重点阐述部分）</w:t>
      </w:r>
    </w:p>
    <w:p>
      <w:pPr>
        <w:spacing w:line="620" w:lineRule="exact"/>
        <w:ind w:firstLine="600"/>
        <w:rPr>
          <w:rFonts w:hint="eastAsia" w:ascii="仿宋" w:hAnsi="仿宋" w:eastAsia="仿宋"/>
          <w:kern w:val="0"/>
          <w:sz w:val="32"/>
          <w:szCs w:val="32"/>
        </w:rPr>
      </w:pPr>
      <w:r>
        <w:rPr>
          <w:rFonts w:hint="eastAsia" w:ascii="仿宋" w:hAnsi="仿宋" w:eastAsia="仿宋"/>
          <w:kern w:val="0"/>
          <w:sz w:val="32"/>
          <w:szCs w:val="32"/>
        </w:rPr>
        <w:t>（一）项目绩效自评得分及等级</w:t>
      </w:r>
    </w:p>
    <w:p>
      <w:pPr>
        <w:ind w:firstLine="640" w:firstLineChars="200"/>
        <w:rPr>
          <w:rFonts w:hint="eastAsia" w:ascii="仿宋" w:hAnsi="仿宋" w:eastAsia="仿宋"/>
          <w:kern w:val="0"/>
          <w:sz w:val="32"/>
          <w:szCs w:val="32"/>
        </w:rPr>
      </w:pPr>
      <w:r>
        <w:rPr>
          <w:rFonts w:hint="eastAsia" w:ascii="仿宋_GB2312" w:eastAsia="仿宋_GB2312"/>
          <w:sz w:val="32"/>
        </w:rPr>
        <w:t>项目绩效评价得分</w:t>
      </w:r>
      <w:r>
        <w:rPr>
          <w:rFonts w:hint="eastAsia" w:ascii="仿宋_GB2312" w:eastAsia="仿宋_GB2312"/>
          <w:sz w:val="32"/>
          <w:lang w:val="en-US" w:eastAsia="zh-CN"/>
        </w:rPr>
        <w:t>83.39</w:t>
      </w:r>
      <w:r>
        <w:rPr>
          <w:rFonts w:hint="eastAsia" w:ascii="仿宋_GB2312" w:eastAsia="仿宋_GB2312"/>
          <w:sz w:val="32"/>
        </w:rPr>
        <w:t>分，等级为</w:t>
      </w:r>
      <w:r>
        <w:rPr>
          <w:rFonts w:hint="eastAsia" w:ascii="仿宋_GB2312" w:eastAsia="仿宋_GB2312"/>
          <w:sz w:val="32"/>
          <w:lang w:eastAsia="zh-CN"/>
        </w:rPr>
        <w:t>良好</w:t>
      </w:r>
      <w:r>
        <w:rPr>
          <w:rFonts w:hint="eastAsia" w:ascii="仿宋_GB2312" w:eastAsia="仿宋_GB2312"/>
          <w:sz w:val="32"/>
        </w:rPr>
        <w:t>。</w:t>
      </w:r>
    </w:p>
    <w:p>
      <w:pPr>
        <w:numPr>
          <w:ilvl w:val="0"/>
          <w:numId w:val="2"/>
        </w:num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项目期初绩效目标实现情况分析</w:t>
      </w:r>
    </w:p>
    <w:p>
      <w:pPr>
        <w:numPr>
          <w:ilvl w:val="0"/>
          <w:numId w:val="0"/>
        </w:numPr>
        <w:ind w:firstLine="640"/>
        <w:rPr>
          <w:rFonts w:hint="eastAsia" w:ascii="仿宋_GB2312" w:eastAsia="仿宋_GB2312"/>
          <w:sz w:val="32"/>
        </w:rPr>
      </w:pP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5</w:t>
      </w:r>
      <w:r>
        <w:rPr>
          <w:rFonts w:hint="eastAsia" w:ascii="仿宋_GB2312" w:eastAsia="仿宋_GB2312"/>
          <w:sz w:val="32"/>
        </w:rPr>
        <w:t>个绩效目标，其中：</w:t>
      </w:r>
    </w:p>
    <w:p>
      <w:pPr>
        <w:numPr>
          <w:ilvl w:val="0"/>
          <w:numId w:val="0"/>
        </w:numPr>
        <w:ind w:firstLine="640"/>
        <w:rPr>
          <w:rFonts w:hint="eastAsia" w:ascii="仿宋_GB2312" w:eastAsia="仿宋_GB2312"/>
          <w:sz w:val="32"/>
          <w:lang w:val="en-US" w:eastAsia="zh-CN"/>
        </w:rPr>
      </w:pPr>
      <w:r>
        <w:rPr>
          <w:rFonts w:hint="eastAsia" w:ascii="仿宋_GB2312" w:eastAsia="仿宋_GB2312"/>
          <w:sz w:val="32"/>
        </w:rPr>
        <w:t>第一是</w:t>
      </w:r>
      <w:r>
        <w:rPr>
          <w:rFonts w:hint="eastAsia" w:ascii="仿宋_GB2312" w:eastAsia="仿宋_GB2312"/>
          <w:sz w:val="32"/>
          <w:lang w:eastAsia="zh-CN"/>
        </w:rPr>
        <w:t>时效目标（增加）</w:t>
      </w:r>
      <w:r>
        <w:rPr>
          <w:rFonts w:hint="eastAsia" w:ascii="仿宋_GB2312" w:eastAsia="仿宋_GB2312"/>
          <w:sz w:val="32"/>
          <w:lang w:val="en-US" w:eastAsia="zh-CN"/>
        </w:rPr>
        <w:t>,</w:t>
      </w:r>
      <w:r>
        <w:rPr>
          <w:rFonts w:hint="eastAsia" w:ascii="仿宋_GB2312" w:eastAsia="仿宋_GB2312"/>
          <w:sz w:val="32"/>
        </w:rPr>
        <w:t>绩效目标内容是资金下达时限</w:t>
      </w:r>
      <w:r>
        <w:rPr>
          <w:rFonts w:hint="eastAsia" w:ascii="仿宋_GB2312" w:eastAsia="仿宋_GB2312"/>
          <w:sz w:val="32"/>
          <w:lang w:eastAsia="zh-CN"/>
        </w:rPr>
        <w:t>。本指标</w:t>
      </w:r>
      <w:r>
        <w:rPr>
          <w:rFonts w:hint="eastAsia" w:ascii="仿宋_GB2312" w:eastAsia="仿宋_GB2312"/>
          <w:sz w:val="32"/>
          <w:lang w:val="en-US" w:eastAsia="zh-CN"/>
        </w:rPr>
        <w:t>20分。</w:t>
      </w:r>
      <w:r>
        <w:rPr>
          <w:rFonts w:hint="eastAsia" w:ascii="仿宋_GB2312" w:eastAsia="仿宋_GB2312"/>
          <w:sz w:val="32"/>
          <w:lang w:eastAsia="zh-CN"/>
        </w:rPr>
        <w:t>增编指标计划值是2017若启动补助，补助资金20天内下达。实际完成值为2017年1月启动物价联动机制，补助资金于</w:t>
      </w:r>
      <w:r>
        <w:rPr>
          <w:rFonts w:hint="eastAsia" w:ascii="仿宋_GB2312" w:eastAsia="仿宋_GB2312"/>
          <w:sz w:val="32"/>
          <w:lang w:val="en-US" w:eastAsia="zh-CN"/>
        </w:rPr>
        <w:t>2017年1月下达，在20天内下达。本指标得20分。</w:t>
      </w:r>
    </w:p>
    <w:p>
      <w:pPr>
        <w:numPr>
          <w:ilvl w:val="0"/>
          <w:numId w:val="0"/>
        </w:numPr>
        <w:ind w:firstLine="640"/>
        <w:rPr>
          <w:rFonts w:hint="eastAsia" w:ascii="仿宋_GB2312" w:eastAsia="仿宋_GB2312"/>
          <w:sz w:val="32"/>
          <w:lang w:eastAsia="zh-CN"/>
        </w:rPr>
      </w:pPr>
      <w:r>
        <w:rPr>
          <w:rFonts w:hint="eastAsia" w:ascii="仿宋_GB2312" w:eastAsia="仿宋_GB2312"/>
          <w:sz w:val="32"/>
        </w:rPr>
        <w:t>第</w:t>
      </w:r>
      <w:r>
        <w:rPr>
          <w:rFonts w:hint="eastAsia" w:ascii="仿宋_GB2312" w:eastAsia="仿宋_GB2312"/>
          <w:sz w:val="32"/>
          <w:lang w:eastAsia="zh-CN"/>
        </w:rPr>
        <w:t>二</w:t>
      </w:r>
      <w:r>
        <w:rPr>
          <w:rFonts w:hint="eastAsia" w:ascii="仿宋_GB2312" w:eastAsia="仿宋_GB2312"/>
          <w:sz w:val="32"/>
        </w:rPr>
        <w:t>是成本目标，绩效目标内容是预算执行率</w:t>
      </w:r>
      <w:r>
        <w:rPr>
          <w:rFonts w:hint="eastAsia" w:ascii="仿宋_GB2312" w:eastAsia="仿宋_GB2312"/>
          <w:sz w:val="32"/>
          <w:lang w:eastAsia="zh-CN"/>
        </w:rPr>
        <w:t>，本指标</w:t>
      </w:r>
      <w:r>
        <w:rPr>
          <w:rFonts w:hint="eastAsia" w:ascii="仿宋_GB2312" w:eastAsia="仿宋_GB2312"/>
          <w:sz w:val="32"/>
          <w:lang w:val="en-US" w:eastAsia="zh-CN"/>
        </w:rPr>
        <w:t>20分。</w:t>
      </w:r>
      <w:r>
        <w:rPr>
          <w:rFonts w:hint="eastAsia" w:ascii="仿宋_GB2312" w:eastAsia="仿宋_GB2312"/>
          <w:sz w:val="32"/>
          <w:lang w:eastAsia="zh-CN"/>
        </w:rPr>
        <w:t>财政批复</w:t>
      </w:r>
      <w:r>
        <w:rPr>
          <w:rFonts w:hint="eastAsia" w:ascii="仿宋_GB2312" w:eastAsia="仿宋_GB2312"/>
          <w:sz w:val="32"/>
        </w:rPr>
        <w:t>目标值</w:t>
      </w:r>
      <w:r>
        <w:rPr>
          <w:rFonts w:hint="eastAsia" w:ascii="仿宋_GB2312" w:eastAsia="仿宋_GB2312"/>
          <w:sz w:val="32"/>
          <w:lang w:eastAsia="zh-CN"/>
        </w:rPr>
        <w:t>是</w:t>
      </w:r>
      <w:r>
        <w:rPr>
          <w:rFonts w:hint="eastAsia" w:ascii="仿宋_GB2312" w:eastAsia="仿宋_GB2312"/>
          <w:sz w:val="32"/>
        </w:rPr>
        <w:t>2017年不低于</w:t>
      </w:r>
      <w:r>
        <w:rPr>
          <w:rFonts w:hint="eastAsia" w:ascii="仿宋_GB2312" w:eastAsia="仿宋_GB2312"/>
          <w:sz w:val="32"/>
          <w:lang w:val="en-US" w:eastAsia="zh-CN"/>
        </w:rPr>
        <w:t>95</w:t>
      </w:r>
      <w:r>
        <w:rPr>
          <w:rFonts w:hint="eastAsia" w:ascii="仿宋_GB2312" w:eastAsia="仿宋_GB2312"/>
          <w:sz w:val="32"/>
        </w:rPr>
        <w:t>%。实际完成情况为：</w:t>
      </w:r>
      <w:r>
        <w:rPr>
          <w:rFonts w:hint="eastAsia" w:ascii="仿宋_GB2312" w:eastAsia="仿宋_GB2312"/>
          <w:sz w:val="32"/>
          <w:lang w:val="en-US" w:eastAsia="zh-CN"/>
        </w:rPr>
        <w:t>2017年16.11%。</w:t>
      </w:r>
      <w:r>
        <w:rPr>
          <w:rFonts w:hint="eastAsia" w:ascii="仿宋_GB2312" w:eastAsia="仿宋_GB2312"/>
          <w:sz w:val="32"/>
          <w:lang w:eastAsia="zh-CN"/>
        </w:rPr>
        <w:t>本指标得</w:t>
      </w:r>
      <w:r>
        <w:rPr>
          <w:rFonts w:hint="eastAsia" w:ascii="仿宋_GB2312" w:eastAsia="仿宋_GB2312"/>
          <w:sz w:val="32"/>
          <w:lang w:val="en-US" w:eastAsia="zh-CN"/>
        </w:rPr>
        <w:t>20*16.11%/95%=3.39分。</w:t>
      </w:r>
    </w:p>
    <w:p>
      <w:pPr>
        <w:numPr>
          <w:ilvl w:val="0"/>
          <w:numId w:val="0"/>
        </w:numPr>
        <w:ind w:firstLine="640"/>
        <w:rPr>
          <w:rFonts w:hint="eastAsia" w:ascii="仿宋_GB2312" w:eastAsia="仿宋_GB2312"/>
          <w:sz w:val="32"/>
          <w:lang w:eastAsia="zh-CN"/>
        </w:rPr>
      </w:pPr>
      <w:r>
        <w:rPr>
          <w:rFonts w:hint="eastAsia" w:ascii="仿宋_GB2312" w:eastAsia="仿宋_GB2312"/>
          <w:sz w:val="32"/>
          <w:lang w:eastAsia="zh-CN"/>
        </w:rPr>
        <w:t>第三是</w:t>
      </w:r>
      <w:r>
        <w:rPr>
          <w:rFonts w:hint="eastAsia" w:ascii="仿宋_GB2312" w:eastAsia="仿宋_GB2312"/>
          <w:sz w:val="32"/>
        </w:rPr>
        <w:t>数量目标，绩效目标内容是</w:t>
      </w:r>
      <w:r>
        <w:rPr>
          <w:rFonts w:hint="eastAsia" w:ascii="仿宋_GB2312" w:eastAsia="仿宋_GB2312"/>
          <w:sz w:val="32"/>
          <w:lang w:eastAsia="zh-CN"/>
        </w:rPr>
        <w:t>补助县区数，本指标</w:t>
      </w:r>
      <w:r>
        <w:rPr>
          <w:rFonts w:hint="eastAsia" w:ascii="仿宋_GB2312" w:eastAsia="仿宋_GB2312"/>
          <w:sz w:val="32"/>
          <w:lang w:val="en-US" w:eastAsia="zh-CN"/>
        </w:rPr>
        <w:t>20分。</w:t>
      </w:r>
      <w:r>
        <w:rPr>
          <w:rFonts w:hint="eastAsia" w:ascii="仿宋_GB2312" w:eastAsia="仿宋_GB2312"/>
          <w:sz w:val="32"/>
        </w:rPr>
        <w:t>财政批复目标值是</w:t>
      </w:r>
      <w:r>
        <w:rPr>
          <w:rFonts w:hint="eastAsia" w:ascii="仿宋_GB2312" w:eastAsia="仿宋_GB2312"/>
          <w:sz w:val="32"/>
          <w:lang w:val="en-US" w:eastAsia="zh-CN"/>
        </w:rPr>
        <w:t>2017年补助不低于8家</w:t>
      </w:r>
      <w:r>
        <w:rPr>
          <w:rFonts w:hint="eastAsia" w:ascii="仿宋_GB2312" w:eastAsia="仿宋_GB2312"/>
          <w:sz w:val="32"/>
          <w:lang w:eastAsia="zh-CN"/>
        </w:rPr>
        <w:t>，实际完成</w:t>
      </w:r>
      <w:r>
        <w:rPr>
          <w:rFonts w:hint="eastAsia" w:ascii="仿宋_GB2312" w:eastAsia="仿宋_GB2312"/>
          <w:sz w:val="32"/>
        </w:rPr>
        <w:t>情况为：</w:t>
      </w:r>
      <w:r>
        <w:rPr>
          <w:rFonts w:hint="eastAsia" w:ascii="仿宋_GB2312" w:eastAsia="仿宋_GB2312"/>
          <w:sz w:val="32"/>
          <w:lang w:val="en-US" w:eastAsia="zh-CN"/>
        </w:rPr>
        <w:t>2017年补助8家</w:t>
      </w:r>
      <w:r>
        <w:rPr>
          <w:rFonts w:hint="eastAsia" w:ascii="仿宋_GB2312" w:eastAsia="仿宋_GB2312"/>
          <w:sz w:val="32"/>
          <w:lang w:eastAsia="zh-CN"/>
        </w:rPr>
        <w:t>。本指标得</w:t>
      </w:r>
      <w:r>
        <w:rPr>
          <w:rFonts w:hint="eastAsia" w:ascii="仿宋_GB2312" w:eastAsia="仿宋_GB2312"/>
          <w:sz w:val="32"/>
          <w:lang w:val="en-US" w:eastAsia="zh-CN"/>
        </w:rPr>
        <w:t>20分。</w:t>
      </w:r>
    </w:p>
    <w:p>
      <w:pPr>
        <w:ind w:firstLine="640" w:firstLineChars="200"/>
        <w:rPr>
          <w:rFonts w:hint="eastAsia" w:ascii="仿宋_GB2312" w:eastAsia="仿宋_GB2312"/>
          <w:sz w:val="32"/>
          <w:lang w:eastAsia="zh-CN"/>
        </w:rPr>
      </w:pPr>
      <w:r>
        <w:rPr>
          <w:rFonts w:hint="eastAsia" w:ascii="仿宋_GB2312" w:eastAsia="仿宋_GB2312"/>
          <w:sz w:val="32"/>
          <w:lang w:eastAsia="zh-CN"/>
        </w:rPr>
        <w:t>第四是质量目标，</w:t>
      </w:r>
      <w:r>
        <w:rPr>
          <w:rFonts w:hint="eastAsia" w:ascii="仿宋_GB2312" w:eastAsia="仿宋_GB2312"/>
          <w:sz w:val="32"/>
        </w:rPr>
        <w:t>绩效目标内容是</w:t>
      </w:r>
      <w:r>
        <w:rPr>
          <w:rFonts w:hint="eastAsia" w:ascii="仿宋_GB2312" w:eastAsia="仿宋_GB2312"/>
          <w:sz w:val="32"/>
          <w:lang w:eastAsia="zh-CN"/>
        </w:rPr>
        <w:t>下拨资金准确率，本指标</w:t>
      </w:r>
      <w:r>
        <w:rPr>
          <w:rFonts w:hint="eastAsia" w:ascii="仿宋_GB2312" w:eastAsia="仿宋_GB2312"/>
          <w:sz w:val="32"/>
          <w:lang w:val="en-US" w:eastAsia="zh-CN"/>
        </w:rPr>
        <w:t>20分。</w:t>
      </w:r>
      <w:r>
        <w:rPr>
          <w:rFonts w:hint="eastAsia" w:ascii="仿宋_GB2312" w:eastAsia="仿宋_GB2312"/>
          <w:sz w:val="32"/>
          <w:lang w:eastAsia="zh-CN"/>
        </w:rPr>
        <w:t>财政批复</w:t>
      </w:r>
      <w:r>
        <w:rPr>
          <w:rFonts w:hint="eastAsia" w:ascii="仿宋_GB2312" w:eastAsia="仿宋_GB2312"/>
          <w:sz w:val="32"/>
          <w:lang w:val="en-US" w:eastAsia="zh-CN"/>
        </w:rPr>
        <w:t>目标值是2017年100%。</w:t>
      </w:r>
      <w:r>
        <w:rPr>
          <w:rFonts w:hint="eastAsia" w:ascii="仿宋_GB2312" w:eastAsia="仿宋_GB2312"/>
          <w:sz w:val="32"/>
          <w:lang w:eastAsia="zh-CN"/>
        </w:rPr>
        <w:t>实际完成</w:t>
      </w:r>
      <w:r>
        <w:rPr>
          <w:rFonts w:hint="eastAsia" w:ascii="仿宋_GB2312" w:eastAsia="仿宋_GB2312"/>
          <w:sz w:val="32"/>
        </w:rPr>
        <w:t>情况为100%</w:t>
      </w:r>
      <w:r>
        <w:rPr>
          <w:rFonts w:hint="eastAsia" w:ascii="仿宋_GB2312" w:eastAsia="仿宋_GB2312"/>
          <w:sz w:val="32"/>
          <w:lang w:eastAsia="zh-CN"/>
        </w:rPr>
        <w:t>。本指标得</w:t>
      </w:r>
      <w:r>
        <w:rPr>
          <w:rFonts w:hint="eastAsia" w:ascii="仿宋_GB2312" w:eastAsia="仿宋_GB2312"/>
          <w:sz w:val="32"/>
          <w:lang w:val="en-US" w:eastAsia="zh-CN"/>
        </w:rPr>
        <w:t>20分</w:t>
      </w:r>
    </w:p>
    <w:p>
      <w:pPr>
        <w:ind w:firstLine="640" w:firstLineChars="200"/>
        <w:rPr>
          <w:rFonts w:hint="eastAsia" w:ascii="仿宋" w:hAnsi="仿宋" w:eastAsia="仿宋"/>
          <w:kern w:val="0"/>
          <w:sz w:val="32"/>
          <w:szCs w:val="32"/>
          <w:lang w:val="en-US" w:eastAsia="zh-CN"/>
        </w:rPr>
      </w:pPr>
      <w:r>
        <w:rPr>
          <w:rFonts w:hint="eastAsia" w:ascii="仿宋_GB2312" w:eastAsia="仿宋_GB2312"/>
          <w:sz w:val="32"/>
        </w:rPr>
        <w:t>第</w:t>
      </w:r>
      <w:r>
        <w:rPr>
          <w:rFonts w:hint="eastAsia" w:ascii="仿宋_GB2312" w:eastAsia="仿宋_GB2312"/>
          <w:sz w:val="32"/>
          <w:lang w:eastAsia="zh-CN"/>
        </w:rPr>
        <w:t>五</w:t>
      </w:r>
      <w:r>
        <w:rPr>
          <w:rFonts w:hint="eastAsia" w:ascii="仿宋_GB2312" w:eastAsia="仿宋_GB2312"/>
          <w:sz w:val="32"/>
        </w:rPr>
        <w:t>是社会效益目标，绩效目标内容是补助城乡低保、特困人员覆盖面，</w:t>
      </w:r>
      <w:r>
        <w:rPr>
          <w:rFonts w:hint="eastAsia" w:ascii="仿宋_GB2312" w:eastAsia="仿宋_GB2312"/>
          <w:sz w:val="32"/>
          <w:lang w:eastAsia="zh-CN"/>
        </w:rPr>
        <w:t>本指标</w:t>
      </w:r>
      <w:r>
        <w:rPr>
          <w:rFonts w:hint="eastAsia" w:ascii="仿宋_GB2312" w:eastAsia="仿宋_GB2312"/>
          <w:sz w:val="32"/>
          <w:lang w:val="en-US" w:eastAsia="zh-CN"/>
        </w:rPr>
        <w:t>20分。</w:t>
      </w:r>
      <w:r>
        <w:rPr>
          <w:rFonts w:hint="eastAsia" w:ascii="仿宋_GB2312" w:eastAsia="仿宋_GB2312"/>
          <w:sz w:val="32"/>
          <w:lang w:eastAsia="zh-CN"/>
        </w:rPr>
        <w:t>财政批复</w:t>
      </w:r>
      <w:r>
        <w:rPr>
          <w:rFonts w:hint="eastAsia" w:ascii="仿宋_GB2312" w:eastAsia="仿宋_GB2312"/>
          <w:sz w:val="32"/>
        </w:rPr>
        <w:t>目标值是2017年100%</w:t>
      </w:r>
      <w:r>
        <w:rPr>
          <w:rFonts w:hint="eastAsia" w:ascii="仿宋_GB2312" w:eastAsia="仿宋_GB2312"/>
          <w:sz w:val="32"/>
          <w:lang w:val="en-US" w:eastAsia="zh-CN"/>
        </w:rPr>
        <w:t>，</w:t>
      </w:r>
      <w:r>
        <w:rPr>
          <w:rFonts w:hint="eastAsia" w:ascii="仿宋_GB2312" w:eastAsia="仿宋_GB2312"/>
          <w:sz w:val="32"/>
        </w:rPr>
        <w:t>实际完成情况为：</w:t>
      </w:r>
      <w:r>
        <w:rPr>
          <w:rFonts w:hint="eastAsia" w:ascii="仿宋_GB2312" w:eastAsia="仿宋_GB2312"/>
          <w:sz w:val="32"/>
          <w:lang w:val="en-US" w:eastAsia="zh-CN"/>
        </w:rPr>
        <w:t>2017</w:t>
      </w:r>
      <w:r>
        <w:rPr>
          <w:rFonts w:hint="eastAsia" w:ascii="仿宋_GB2312" w:eastAsia="仿宋_GB2312"/>
          <w:sz w:val="32"/>
        </w:rPr>
        <w:t>补助城乡低保、特困人员覆盖面</w:t>
      </w:r>
      <w:r>
        <w:rPr>
          <w:rFonts w:hint="eastAsia" w:ascii="仿宋_GB2312" w:eastAsia="仿宋_GB2312"/>
          <w:sz w:val="32"/>
          <w:lang w:val="en-US" w:eastAsia="zh-CN"/>
        </w:rPr>
        <w:t>100%。</w:t>
      </w:r>
      <w:r>
        <w:rPr>
          <w:rFonts w:hint="eastAsia" w:ascii="仿宋_GB2312" w:eastAsia="仿宋_GB2312"/>
          <w:sz w:val="32"/>
          <w:lang w:eastAsia="zh-CN"/>
        </w:rPr>
        <w:t>本指标得</w:t>
      </w:r>
      <w:r>
        <w:rPr>
          <w:rFonts w:hint="eastAsia" w:ascii="仿宋_GB2312" w:eastAsia="仿宋_GB2312"/>
          <w:sz w:val="32"/>
          <w:lang w:val="en-US" w:eastAsia="zh-CN"/>
        </w:rPr>
        <w:t>20分。</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（三）项目实施过程中存在的问题和改进建议</w:t>
      </w:r>
      <w:r>
        <w:rPr>
          <w:rFonts w:hint="eastAsia" w:ascii="仿宋" w:hAnsi="仿宋" w:eastAsia="仿宋"/>
          <w:b/>
          <w:kern w:val="0"/>
          <w:sz w:val="32"/>
          <w:szCs w:val="32"/>
        </w:rPr>
        <w:t>（必写内容）</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1、存在问题</w:t>
      </w:r>
    </w:p>
    <w:p>
      <w:pPr>
        <w:spacing w:line="620" w:lineRule="exact"/>
        <w:ind w:firstLine="640" w:firstLineChars="200"/>
        <w:rPr>
          <w:rFonts w:hint="eastAsia" w:ascii="仿宋" w:hAnsi="仿宋" w:eastAsia="仿宋"/>
          <w:kern w:val="0"/>
          <w:sz w:val="32"/>
          <w:szCs w:val="32"/>
          <w:lang w:eastAsia="zh-CN"/>
        </w:rPr>
      </w:pPr>
      <w:r>
        <w:rPr>
          <w:rFonts w:hint="eastAsia" w:ascii="仿宋_GB2312" w:hAnsi="宋体" w:eastAsia="仿宋_GB2312"/>
          <w:color w:val="auto"/>
          <w:sz w:val="32"/>
          <w:highlight w:val="none"/>
          <w:lang w:val="en-US" w:eastAsia="zh-CN"/>
        </w:rPr>
        <w:t>2017年1月，全市居民消费价格指数CPI同比上涨2.9%，食品类消费价格指数上涨0.4%，</w:t>
      </w:r>
      <w:r>
        <w:rPr>
          <w:rFonts w:hint="eastAsia" w:ascii="仿宋_GB2312" w:hAnsi="仿宋_GB2312" w:eastAsia="仿宋_GB2312" w:cs="仿宋_GB2312"/>
          <w:b w:val="0"/>
          <w:bCs/>
          <w:kern w:val="0"/>
          <w:sz w:val="32"/>
          <w:szCs w:val="32"/>
          <w:lang w:eastAsia="zh-CN"/>
        </w:rPr>
        <w:t>各县区应尽快将补助资金拨付到位，减轻物价上涨对困难群众生活的影响。</w:t>
      </w:r>
    </w:p>
    <w:p>
      <w:pPr>
        <w:spacing w:line="620" w:lineRule="exact"/>
        <w:ind w:firstLine="640" w:firstLineChars="200"/>
        <w:rPr>
          <w:rFonts w:hint="eastAsia" w:ascii="仿宋" w:hAnsi="仿宋" w:eastAsia="仿宋"/>
          <w:kern w:val="0"/>
          <w:sz w:val="32"/>
          <w:szCs w:val="32"/>
        </w:rPr>
      </w:pPr>
      <w:r>
        <w:rPr>
          <w:rFonts w:hint="eastAsia" w:ascii="仿宋" w:hAnsi="仿宋" w:eastAsia="仿宋"/>
          <w:kern w:val="0"/>
          <w:sz w:val="32"/>
          <w:szCs w:val="32"/>
        </w:rPr>
        <w:t>2、改进建议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lang w:val="en-US" w:eastAsia="zh-CN"/>
        </w:rPr>
      </w:pPr>
      <w:r>
        <w:rPr>
          <w:rFonts w:hint="eastAsia" w:ascii="仿宋_GB2312" w:eastAsia="仿宋_GB2312"/>
          <w:sz w:val="32"/>
        </w:rPr>
        <w:t>各县市区已将补助资金全部拨付到位，确保专款专用，减轻物价上涨对困难群众生活的影响。</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6DE953"/>
    <w:multiLevelType w:val="singleLevel"/>
    <w:tmpl w:val="DB6DE953"/>
    <w:lvl w:ilvl="0" w:tentative="0">
      <w:start w:val="2"/>
      <w:numFmt w:val="chineseCounting"/>
      <w:suff w:val="nothing"/>
      <w:lvlText w:val="（%1）"/>
      <w:lvlJc w:val="left"/>
      <w:rPr>
        <w:rFonts w:hint="eastAsia"/>
      </w:rPr>
    </w:lvl>
  </w:abstractNum>
  <w:abstractNum w:abstractNumId="1">
    <w:nsid w:val="592BC4FC"/>
    <w:multiLevelType w:val="singleLevel"/>
    <w:tmpl w:val="592BC4F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DF7DE5"/>
    <w:rsid w:val="6D535020"/>
    <w:rsid w:val="73DF7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2018-09-11T02:57:00Z</dcterms:created>
  <dc:creator>Administrator</dc:creator>
  <cp:lastModifiedBy>Administrator</cp:lastModifiedBy>
  <dcterms:modified xsi:type="dcterms:W3CDTF">2018-09-11T02:57:34Z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