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103" w:leftChars="273" w:hanging="2530" w:hangingChars="700"/>
        <w:jc w:val="center"/>
        <w:rPr>
          <w:rFonts w:hint="eastAsia" w:asciiTheme="majorEastAsia" w:hAnsiTheme="majorEastAsia" w:eastAsiaTheme="majorEastAsia" w:cstheme="majorEastAsia"/>
          <w:b/>
          <w:bCs/>
          <w:sz w:val="36"/>
        </w:rPr>
      </w:pPr>
      <w:r>
        <w:rPr>
          <w:rFonts w:hint="eastAsia" w:asciiTheme="majorEastAsia" w:hAnsiTheme="majorEastAsia" w:eastAsiaTheme="majorEastAsia" w:cstheme="majorEastAsia"/>
          <w:b/>
          <w:bCs/>
          <w:sz w:val="36"/>
          <w:szCs w:val="36"/>
        </w:rPr>
        <w:t>2017年福州市</w:t>
      </w:r>
      <w:r>
        <w:rPr>
          <w:rFonts w:hint="eastAsia" w:asciiTheme="majorEastAsia" w:hAnsiTheme="majorEastAsia" w:eastAsiaTheme="majorEastAsia" w:cstheme="majorEastAsia"/>
          <w:b/>
          <w:bCs/>
          <w:sz w:val="36"/>
        </w:rPr>
        <w:t>60岁农村籍退伍军人老年生活补助</w:t>
      </w:r>
    </w:p>
    <w:p>
      <w:pPr>
        <w:adjustRightInd w:val="0"/>
        <w:snapToGrid w:val="0"/>
        <w:spacing w:line="360" w:lineRule="auto"/>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项目绩效自评报告</w:t>
      </w:r>
    </w:p>
    <w:p>
      <w:pPr>
        <w:tabs>
          <w:tab w:val="left" w:pos="5985"/>
        </w:tabs>
        <w:adjustRightInd w:val="0"/>
        <w:snapToGrid w:val="0"/>
        <w:spacing w:line="360" w:lineRule="auto"/>
        <w:ind w:firstLine="640" w:firstLineChars="200"/>
        <w:rPr>
          <w:rFonts w:hint="eastAsia" w:ascii="黑体" w:eastAsia="黑体"/>
          <w:sz w:val="32"/>
        </w:rPr>
      </w:pPr>
    </w:p>
    <w:p>
      <w:pPr>
        <w:adjustRightInd w:val="0"/>
        <w:snapToGrid w:val="0"/>
        <w:spacing w:line="360" w:lineRule="auto"/>
        <w:rPr>
          <w:rFonts w:hint="eastAsia" w:ascii="黑体" w:hAnsi="宋体" w:eastAsia="黑体"/>
          <w:sz w:val="32"/>
        </w:rPr>
      </w:pPr>
      <w:r>
        <w:rPr>
          <w:rFonts w:hint="eastAsia" w:ascii="黑体" w:hAnsi="宋体" w:eastAsia="黑体"/>
          <w:sz w:val="32"/>
        </w:rPr>
        <w:t xml:space="preserve">    一、项目总体情况</w:t>
      </w:r>
    </w:p>
    <w:p>
      <w:pPr>
        <w:adjustRightInd w:val="0"/>
        <w:snapToGrid w:val="0"/>
        <w:spacing w:line="360" w:lineRule="auto"/>
        <w:ind w:left="2813" w:leftChars="273" w:hanging="2240" w:hangingChars="700"/>
        <w:jc w:val="center"/>
        <w:rPr>
          <w:rFonts w:hint="eastAsia" w:ascii="仿宋_GB2312" w:hAnsi="仿宋" w:eastAsia="仿宋_GB2312"/>
          <w:sz w:val="32"/>
        </w:rPr>
      </w:pPr>
      <w:r>
        <w:rPr>
          <w:rFonts w:hint="eastAsia" w:ascii="仿宋_GB2312" w:hAnsi="仿宋" w:eastAsia="仿宋_GB2312"/>
          <w:sz w:val="32"/>
        </w:rPr>
        <w:t>近年来，市委、市政府高度重视退伍军人优抚优待工作，</w:t>
      </w:r>
    </w:p>
    <w:p>
      <w:pPr>
        <w:adjustRightInd w:val="0"/>
        <w:snapToGrid w:val="0"/>
        <w:spacing w:line="360" w:lineRule="auto"/>
        <w:rPr>
          <w:rFonts w:hint="eastAsia" w:ascii="仿宋_GB2312" w:hAnsi="仿宋" w:eastAsia="仿宋_GB2312"/>
          <w:sz w:val="32"/>
        </w:rPr>
      </w:pPr>
      <w:r>
        <w:rPr>
          <w:rFonts w:hint="eastAsia" w:ascii="仿宋_GB2312" w:hAnsi="仿宋" w:eastAsia="仿宋_GB2312"/>
          <w:sz w:val="32"/>
        </w:rPr>
        <w:t>把抚恤补助工作作为落实国家抚恤优待政策一项重要内容，抓紧抓好，各类优抚对象的抚恤补助所资金列入财政预算。同时，民政部门会同财政部门做好优抚对象抚恤补助资金预算安排工作， 2017年市级财政下拨各县（市）区</w:t>
      </w:r>
      <w:r>
        <w:rPr>
          <w:rFonts w:hint="eastAsia" w:ascii="仿宋_GB2312" w:eastAsia="仿宋_GB2312"/>
          <w:sz w:val="36"/>
        </w:rPr>
        <w:t>60</w:t>
      </w:r>
      <w:r>
        <w:rPr>
          <w:rFonts w:hint="eastAsia" w:ascii="仿宋_GB2312" w:eastAsia="仿宋_GB2312"/>
          <w:sz w:val="32"/>
          <w:szCs w:val="32"/>
        </w:rPr>
        <w:t>岁农村籍退伍军人老年生活补助（省补助市级配套项目）</w:t>
      </w:r>
      <w:r>
        <w:rPr>
          <w:rFonts w:hint="eastAsia" w:ascii="仿宋_GB2312" w:hAnsi="仿宋_GB2312" w:eastAsia="仿宋_GB2312"/>
          <w:sz w:val="32"/>
        </w:rPr>
        <w:t>334.92万元</w:t>
      </w:r>
      <w:r>
        <w:rPr>
          <w:rFonts w:hint="eastAsia" w:ascii="仿宋_GB2312" w:hAnsi="仿宋" w:eastAsia="仿宋_GB2312"/>
          <w:sz w:val="32"/>
        </w:rPr>
        <w:t>，确保了优抚对象抚恤补助资金及时足额发放。</w:t>
      </w:r>
    </w:p>
    <w:p>
      <w:pPr>
        <w:adjustRightInd w:val="0"/>
        <w:snapToGrid w:val="0"/>
        <w:spacing w:line="360" w:lineRule="auto"/>
        <w:ind w:firstLine="640" w:firstLineChars="200"/>
        <w:rPr>
          <w:rFonts w:hint="eastAsia" w:ascii="黑体" w:hAnsi="黑体" w:eastAsia="黑体"/>
          <w:sz w:val="32"/>
        </w:rPr>
      </w:pPr>
      <w:r>
        <w:rPr>
          <w:rFonts w:hint="eastAsia" w:ascii="黑体" w:hAnsi="黑体" w:eastAsia="黑体"/>
          <w:sz w:val="32"/>
        </w:rPr>
        <w:t>二、项目绩效自评结论</w:t>
      </w:r>
    </w:p>
    <w:p>
      <w:pPr>
        <w:adjustRightInd w:val="0"/>
        <w:snapToGrid w:val="0"/>
        <w:spacing w:line="360" w:lineRule="auto"/>
        <w:ind w:firstLine="640" w:firstLineChars="200"/>
        <w:rPr>
          <w:rFonts w:hint="eastAsia" w:ascii="楷体" w:hAnsi="楷体" w:eastAsia="楷体" w:cs="楷体"/>
          <w:bCs/>
          <w:sz w:val="32"/>
        </w:rPr>
      </w:pPr>
      <w:r>
        <w:rPr>
          <w:rFonts w:hint="eastAsia" w:ascii="楷体" w:hAnsi="楷体" w:eastAsia="楷体" w:cs="楷体"/>
          <w:bCs/>
          <w:sz w:val="32"/>
        </w:rPr>
        <w:t>（一）项目绩效自评得分及等级</w:t>
      </w:r>
    </w:p>
    <w:p>
      <w:pPr>
        <w:adjustRightInd w:val="0"/>
        <w:snapToGrid w:val="0"/>
        <w:spacing w:line="360" w:lineRule="auto"/>
        <w:ind w:firstLine="640" w:firstLineChars="200"/>
        <w:rPr>
          <w:rFonts w:hint="eastAsia" w:ascii="仿宋_GB2312" w:eastAsia="仿宋_GB2312"/>
          <w:b/>
          <w:sz w:val="32"/>
        </w:rPr>
      </w:pPr>
      <w:r>
        <w:rPr>
          <w:rFonts w:hint="eastAsia" w:ascii="仿宋_GB2312" w:eastAsia="仿宋_GB2312"/>
          <w:sz w:val="32"/>
        </w:rPr>
        <w:t>项目绩效评价得分100分，等级为优秀。</w:t>
      </w:r>
    </w:p>
    <w:p>
      <w:pPr>
        <w:adjustRightInd w:val="0"/>
        <w:snapToGrid w:val="0"/>
        <w:spacing w:line="360" w:lineRule="auto"/>
        <w:ind w:firstLine="640" w:firstLineChars="200"/>
        <w:rPr>
          <w:rFonts w:hint="eastAsia" w:ascii="楷体" w:hAnsi="楷体" w:eastAsia="楷体" w:cs="楷体"/>
          <w:bCs/>
          <w:sz w:val="32"/>
        </w:rPr>
      </w:pPr>
      <w:r>
        <w:rPr>
          <w:rFonts w:hint="eastAsia" w:ascii="楷体" w:hAnsi="楷体" w:eastAsia="楷体" w:cs="楷体"/>
          <w:bCs/>
          <w:sz w:val="32"/>
        </w:rPr>
        <w:t xml:space="preserve">（二）项目绩效目标实现情况分析 </w:t>
      </w:r>
    </w:p>
    <w:p>
      <w:pPr>
        <w:adjustRightInd w:val="0"/>
        <w:snapToGrid w:val="0"/>
        <w:spacing w:line="360" w:lineRule="auto"/>
        <w:rPr>
          <w:rFonts w:hint="eastAsia" w:ascii="仿宋_GB2312" w:eastAsia="仿宋_GB2312"/>
          <w:sz w:val="32"/>
        </w:rPr>
      </w:pPr>
      <w:r>
        <w:rPr>
          <w:rFonts w:hint="eastAsia" w:ascii="仿宋_GB2312" w:eastAsia="仿宋_GB2312"/>
          <w:sz w:val="32"/>
        </w:rPr>
        <w:t xml:space="preserve">     2017年项目设置了5个绩效目标，其中：</w:t>
      </w:r>
    </w:p>
    <w:p>
      <w:pPr>
        <w:adjustRightInd w:val="0"/>
        <w:snapToGrid w:val="0"/>
        <w:spacing w:line="360" w:lineRule="auto"/>
        <w:ind w:firstLine="640" w:firstLineChars="200"/>
        <w:rPr>
          <w:rFonts w:hint="eastAsia" w:ascii="仿宋_GB2312" w:eastAsia="仿宋_GB2312"/>
          <w:sz w:val="32"/>
        </w:rPr>
      </w:pPr>
      <w:r>
        <w:rPr>
          <w:rFonts w:hint="eastAsia" w:ascii="仿宋_GB2312" w:eastAsia="仿宋_GB2312"/>
          <w:sz w:val="32"/>
        </w:rPr>
        <w:t>第一是时效目标，绩效目标内容为目标完成率，其中年初财政批复设置目标值3个（预算执行率、补助县区数、受益的带病回乡人员保障率），期中增编设置目标值2个（目标完成率、资金下拨准确率）。2017年目标完成率（当年完成目标数/期初编制目标数）为100%。</w:t>
      </w:r>
    </w:p>
    <w:p>
      <w:pPr>
        <w:adjustRightInd w:val="0"/>
        <w:snapToGrid w:val="0"/>
        <w:spacing w:line="360" w:lineRule="auto"/>
        <w:ind w:firstLine="640" w:firstLineChars="200"/>
        <w:rPr>
          <w:rFonts w:hint="eastAsia" w:ascii="仿宋_GB2312" w:hAnsi="Arial" w:eastAsia="仿宋_GB2312"/>
          <w:color w:val="000000"/>
          <w:kern w:val="0"/>
          <w:sz w:val="32"/>
          <w:shd w:val="clear" w:color="auto" w:fill="FFFFFF"/>
        </w:rPr>
      </w:pPr>
      <w:r>
        <w:rPr>
          <w:rFonts w:hint="eastAsia" w:ascii="仿宋_GB2312" w:eastAsia="仿宋_GB2312"/>
          <w:sz w:val="32"/>
        </w:rPr>
        <w:t>第二是成本目标，绩效目标内容是预算执行率， 2017年预算目标执行率为不低于95%。目标实际完成率为104.66%，超预算目标值14.92万元。主要原因是：年初安排预算时，预留当年新增60周岁退伍军人资金和全国调整提高抚恤补助标准地方需配套资金不足。</w:t>
      </w:r>
    </w:p>
    <w:p>
      <w:pPr>
        <w:adjustRightInd w:val="0"/>
        <w:snapToGrid w:val="0"/>
        <w:spacing w:line="360" w:lineRule="auto"/>
        <w:ind w:firstLine="640" w:firstLineChars="200"/>
        <w:rPr>
          <w:rFonts w:hint="eastAsia" w:ascii="仿宋_GB2312" w:eastAsia="仿宋_GB2312"/>
          <w:sz w:val="32"/>
        </w:rPr>
      </w:pPr>
      <w:r>
        <w:rPr>
          <w:rFonts w:hint="eastAsia" w:ascii="仿宋_GB2312" w:eastAsia="仿宋_GB2312"/>
          <w:sz w:val="32"/>
        </w:rPr>
        <w:t>第三是数量目标，绩效目标内容是补助县区数，参考标准是2016年12个县（市）区，绩效目标值是2017年不低于12个县(市)区。实际完成情况为：2017年补助12个县（市）区。</w:t>
      </w:r>
    </w:p>
    <w:p>
      <w:pPr>
        <w:adjustRightInd w:val="0"/>
        <w:snapToGrid w:val="0"/>
        <w:spacing w:line="360" w:lineRule="auto"/>
        <w:ind w:firstLine="640" w:firstLineChars="200"/>
        <w:rPr>
          <w:rFonts w:hint="eastAsia" w:ascii="仿宋_GB2312" w:eastAsia="仿宋_GB2312"/>
          <w:sz w:val="32"/>
        </w:rPr>
      </w:pPr>
      <w:r>
        <w:rPr>
          <w:rFonts w:hint="eastAsia" w:ascii="仿宋_GB2312" w:eastAsia="仿宋_GB2312"/>
          <w:sz w:val="32"/>
        </w:rPr>
        <w:t>第四是质量目标，绩效目标内容是下拨资金准确率，为期中增编目标值，绩效目标值是2017年100%。实际完成情况为：2017年下拨资金准确率为100%。</w:t>
      </w:r>
    </w:p>
    <w:p>
      <w:pPr>
        <w:adjustRightInd w:val="0"/>
        <w:snapToGrid w:val="0"/>
        <w:spacing w:line="360" w:lineRule="auto"/>
        <w:ind w:firstLine="640" w:firstLineChars="200"/>
        <w:rPr>
          <w:rFonts w:hint="eastAsia" w:ascii="仿宋_GB2312" w:eastAsia="仿宋_GB2312"/>
          <w:sz w:val="32"/>
        </w:rPr>
      </w:pPr>
      <w:r>
        <w:rPr>
          <w:rFonts w:hint="eastAsia" w:ascii="仿宋_GB2312" w:eastAsia="仿宋_GB2312"/>
          <w:sz w:val="32"/>
        </w:rPr>
        <w:t>第五是社会效益目标，绩效目标内容是受益的退伍军人数，参考标准是2016年受益的退伍军人数为18790人，绩效目标值是2017年受益的退伍军人数不低于1.8万人。实际完成情况为：2017年受益的退伍军人数为19811人。</w:t>
      </w:r>
    </w:p>
    <w:p>
      <w:pPr>
        <w:adjustRightInd w:val="0"/>
        <w:snapToGrid w:val="0"/>
        <w:spacing w:line="360" w:lineRule="auto"/>
        <w:ind w:firstLine="640" w:firstLineChars="200"/>
        <w:rPr>
          <w:rFonts w:hint="eastAsia" w:ascii="楷体" w:hAnsi="楷体" w:eastAsia="楷体" w:cs="楷体"/>
          <w:bCs/>
          <w:color w:val="000000"/>
          <w:kern w:val="0"/>
          <w:sz w:val="32"/>
        </w:rPr>
      </w:pPr>
      <w:r>
        <w:rPr>
          <w:rFonts w:hint="eastAsia" w:ascii="楷体" w:hAnsi="楷体" w:eastAsia="楷体" w:cs="楷体"/>
          <w:bCs/>
          <w:color w:val="000000"/>
          <w:kern w:val="0"/>
          <w:sz w:val="32"/>
        </w:rPr>
        <w:t>（三）项目实施中存在的问题和改进建议</w:t>
      </w:r>
    </w:p>
    <w:p>
      <w:pPr>
        <w:adjustRightInd w:val="0"/>
        <w:snapToGrid w:val="0"/>
        <w:spacing w:line="360" w:lineRule="auto"/>
        <w:ind w:left="640"/>
        <w:rPr>
          <w:rFonts w:hint="eastAsia" w:ascii="仿宋_GB2312" w:eastAsia="仿宋_GB2312"/>
          <w:sz w:val="32"/>
        </w:rPr>
      </w:pPr>
      <w:r>
        <w:rPr>
          <w:rFonts w:hint="eastAsia" w:ascii="仿宋_GB2312" w:eastAsia="仿宋_GB2312"/>
          <w:sz w:val="32"/>
        </w:rPr>
        <w:t>1、存在问题：</w:t>
      </w:r>
    </w:p>
    <w:p>
      <w:pPr>
        <w:adjustRightInd w:val="0"/>
        <w:snapToGrid w:val="0"/>
        <w:spacing w:line="360" w:lineRule="auto"/>
        <w:ind w:firstLine="480" w:firstLineChars="150"/>
        <w:rPr>
          <w:rFonts w:hint="eastAsia" w:ascii="仿宋_GB2312" w:hAnsi="仿宋_GB2312" w:eastAsia="仿宋_GB2312"/>
          <w:sz w:val="32"/>
        </w:rPr>
      </w:pPr>
      <w:r>
        <w:rPr>
          <w:rFonts w:hint="eastAsia" w:ascii="仿宋_GB2312" w:eastAsia="仿宋_GB2312"/>
          <w:sz w:val="32"/>
        </w:rPr>
        <w:t>（1）</w:t>
      </w:r>
      <w:r>
        <w:rPr>
          <w:rFonts w:hint="eastAsia" w:ascii="仿宋_GB2312" w:hAnsi="仿宋_GB2312" w:eastAsia="仿宋_GB2312"/>
          <w:sz w:val="32"/>
        </w:rPr>
        <w:t>存在</w:t>
      </w:r>
      <w:r>
        <w:rPr>
          <w:rFonts w:hint="eastAsia" w:ascii="仿宋_GB2312" w:eastAsia="仿宋_GB2312"/>
          <w:sz w:val="32"/>
        </w:rPr>
        <w:t>管理</w:t>
      </w:r>
      <w:r>
        <w:rPr>
          <w:rFonts w:hint="eastAsia" w:ascii="仿宋_GB2312" w:hAnsi="仿宋_GB2312" w:eastAsia="仿宋_GB2312"/>
          <w:sz w:val="32"/>
        </w:rPr>
        <w:t>不够规范化、不够完善</w:t>
      </w:r>
      <w:r>
        <w:rPr>
          <w:rFonts w:hint="eastAsia" w:ascii="仿宋_GB2312" w:hAnsi="仿宋_GB2312" w:eastAsia="仿宋_GB2312"/>
          <w:sz w:val="32"/>
          <w:lang w:eastAsia="zh-CN"/>
        </w:rPr>
        <w:t>的问题；</w:t>
      </w:r>
    </w:p>
    <w:p>
      <w:pPr>
        <w:adjustRightInd w:val="0"/>
        <w:snapToGrid w:val="0"/>
        <w:spacing w:line="360" w:lineRule="auto"/>
        <w:ind w:firstLine="480" w:firstLineChars="150"/>
        <w:textAlignment w:val="baseline"/>
        <w:rPr>
          <w:rFonts w:hint="eastAsia" w:ascii="仿宋_GB2312" w:eastAsia="仿宋_GB2312"/>
          <w:sz w:val="32"/>
        </w:rPr>
      </w:pPr>
      <w:r>
        <w:rPr>
          <w:rFonts w:hint="eastAsia" w:ascii="仿宋_GB2312" w:hAnsi="仿宋_GB2312" w:eastAsia="仿宋_GB2312"/>
          <w:sz w:val="32"/>
        </w:rPr>
        <w:t>（2）监管</w:t>
      </w:r>
      <w:r>
        <w:rPr>
          <w:rFonts w:hint="eastAsia" w:ascii="仿宋_GB2312" w:hAnsi="仿宋_GB2312" w:eastAsia="仿宋_GB2312"/>
          <w:sz w:val="32"/>
          <w:lang w:eastAsia="zh-CN"/>
        </w:rPr>
        <w:t>工作有待加强。</w:t>
      </w:r>
    </w:p>
    <w:p>
      <w:pPr>
        <w:adjustRightInd w:val="0"/>
        <w:snapToGrid w:val="0"/>
        <w:spacing w:line="360" w:lineRule="auto"/>
        <w:ind w:firstLine="640" w:firstLineChars="200"/>
        <w:rPr>
          <w:rFonts w:hint="eastAsia" w:ascii="仿宋_GB2312" w:eastAsia="仿宋_GB2312"/>
          <w:sz w:val="32"/>
        </w:rPr>
      </w:pPr>
      <w:r>
        <w:rPr>
          <w:rFonts w:hint="eastAsia" w:ascii="仿宋_GB2312" w:eastAsia="仿宋_GB2312"/>
          <w:sz w:val="32"/>
        </w:rPr>
        <w:t>2、建议：</w:t>
      </w:r>
    </w:p>
    <w:p>
      <w:pPr>
        <w:adjustRightInd w:val="0"/>
        <w:snapToGrid w:val="0"/>
        <w:spacing w:line="360" w:lineRule="auto"/>
        <w:ind w:firstLine="640" w:firstLineChars="200"/>
        <w:rPr>
          <w:rFonts w:hint="eastAsia" w:ascii="仿宋_GB2312" w:eastAsia="仿宋_GB2312"/>
          <w:sz w:val="32"/>
        </w:rPr>
      </w:pPr>
      <w:r>
        <w:rPr>
          <w:rFonts w:hint="eastAsia" w:ascii="仿宋_GB2312" w:hAnsi="仿宋_GB2312" w:eastAsia="仿宋_GB2312"/>
          <w:sz w:val="32"/>
        </w:rPr>
        <w:t>（1）按照福建省民政厅、财政厅《关于印发〈福建省优抚对象抚恤补助资金使用管理办法〉的通知》（闽财社[2014]25号）的要求，强化责任意识，全面推进优抚资金的规范化建设，落实好动态管理机制。</w:t>
      </w:r>
    </w:p>
    <w:p>
      <w:pPr>
        <w:adjustRightInd w:val="0"/>
        <w:snapToGrid w:val="0"/>
        <w:spacing w:line="360" w:lineRule="auto"/>
        <w:ind w:firstLine="480" w:firstLineChars="150"/>
        <w:rPr>
          <w:rFonts w:hint="eastAsia" w:ascii="仿宋_GB2312" w:eastAsia="仿宋_GB2312"/>
          <w:sz w:val="32"/>
        </w:rPr>
      </w:pPr>
      <w:r>
        <w:rPr>
          <w:rFonts w:hint="eastAsia" w:ascii="仿宋_GB2312" w:eastAsia="仿宋_GB2312"/>
          <w:sz w:val="32"/>
        </w:rPr>
        <w:t>（2）为了提高抚恤补助资金使用的准确性，县级民政部门要</w:t>
      </w:r>
      <w:bookmarkStart w:id="0" w:name="_GoBack"/>
      <w:bookmarkEnd w:id="0"/>
      <w:r>
        <w:rPr>
          <w:rFonts w:hint="eastAsia" w:ascii="仿宋_GB2312" w:hAnsi="仿宋" w:eastAsia="仿宋_GB2312"/>
          <w:sz w:val="32"/>
        </w:rPr>
        <w:t>进一步完善入户核查机制，提高信息的准确性。</w:t>
      </w:r>
    </w:p>
    <w:p>
      <w:pPr>
        <w:adjustRightInd w:val="0"/>
        <w:snapToGrid w:val="0"/>
        <w:spacing w:line="360" w:lineRule="auto"/>
        <w:ind w:firstLine="480" w:firstLineChars="150"/>
        <w:rPr>
          <w:rFonts w:hint="eastAsia" w:ascii="仿宋_GB2312" w:eastAsia="仿宋_GB2312"/>
          <w:sz w:val="32"/>
        </w:rPr>
      </w:pPr>
      <w:r>
        <w:rPr>
          <w:rFonts w:hint="eastAsia" w:ascii="仿宋_GB2312" w:eastAsia="仿宋_GB2312"/>
          <w:sz w:val="32"/>
        </w:rPr>
        <w:t>（3）建议加快建立部门之间的信息共享体制，如户籍信息、社保保信息应尽快实现共享。</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5A4714"/>
    <w:rsid w:val="057913D5"/>
    <w:rsid w:val="385A471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2018-09-11T02:38:00Z</dcterms:created>
  <dc:creator>Administrator</dc:creator>
  <cp:lastModifiedBy>Administrator</cp:lastModifiedBy>
  <dcterms:modified xsi:type="dcterms:W3CDTF">2018-09-28T02:58:05Z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