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简体" w:eastAsia="方正小标宋简体"/>
          <w:sz w:val="44"/>
          <w:szCs w:val="44"/>
        </w:rPr>
      </w:pPr>
      <w:r>
        <w:rPr>
          <w:rFonts w:hint="default" w:ascii="方正小标宋简体" w:eastAsia="方正小标宋简体"/>
          <w:sz w:val="44"/>
          <w:szCs w:val="44"/>
          <w:lang w:val="en-US"/>
        </w:rPr>
        <w:t>2017</w:t>
      </w:r>
      <w:r>
        <w:rPr>
          <w:rFonts w:hint="eastAsia" w:ascii="方正小标宋简体" w:eastAsia="方正小标宋简体"/>
          <w:sz w:val="44"/>
          <w:szCs w:val="44"/>
          <w:lang w:val="en-US" w:eastAsia="zh-CN"/>
        </w:rPr>
        <w:t>年福州市养老机构责任保险</w:t>
      </w:r>
      <w:r>
        <w:rPr>
          <w:rFonts w:hint="eastAsia" w:ascii="方正小标宋简体" w:eastAsia="方正小标宋简体"/>
          <w:sz w:val="44"/>
          <w:szCs w:val="44"/>
        </w:rPr>
        <w:t>项目</w:t>
      </w:r>
    </w:p>
    <w:p>
      <w:pPr>
        <w:spacing w:line="620" w:lineRule="exact"/>
        <w:jc w:val="center"/>
        <w:rPr>
          <w:rFonts w:hint="eastAsia" w:ascii="方正小标宋简体" w:eastAsia="方正小标宋简体"/>
          <w:sz w:val="44"/>
          <w:szCs w:val="44"/>
        </w:rPr>
      </w:pPr>
      <w:r>
        <w:rPr>
          <w:rFonts w:hint="eastAsia" w:ascii="方正小标宋简体" w:eastAsia="方正小标宋简体"/>
          <w:sz w:val="44"/>
          <w:szCs w:val="44"/>
        </w:rPr>
        <w:t>绩效评价自评报告</w:t>
      </w:r>
    </w:p>
    <w:p>
      <w:pPr>
        <w:spacing w:line="620" w:lineRule="exact"/>
        <w:ind w:firstLine="643" w:firstLineChars="200"/>
        <w:rPr>
          <w:rFonts w:hint="eastAsia" w:ascii="仿宋" w:hAnsi="仿宋" w:eastAsia="仿宋"/>
          <w:b/>
          <w:kern w:val="0"/>
          <w:sz w:val="32"/>
          <w:szCs w:val="32"/>
        </w:rPr>
      </w:pPr>
    </w:p>
    <w:p>
      <w:pPr>
        <w:numPr>
          <w:ilvl w:val="0"/>
          <w:numId w:val="1"/>
        </w:numPr>
        <w:spacing w:line="620" w:lineRule="exact"/>
        <w:ind w:firstLine="643" w:firstLineChars="200"/>
        <w:rPr>
          <w:rFonts w:hint="eastAsia" w:ascii="仿宋" w:hAnsi="仿宋" w:eastAsia="仿宋"/>
          <w:b/>
          <w:kern w:val="0"/>
          <w:sz w:val="32"/>
          <w:szCs w:val="32"/>
        </w:rPr>
      </w:pPr>
      <w:r>
        <w:rPr>
          <w:rFonts w:hint="eastAsia" w:ascii="仿宋" w:hAnsi="仿宋" w:eastAsia="仿宋"/>
          <w:b/>
          <w:kern w:val="0"/>
          <w:sz w:val="32"/>
          <w:szCs w:val="32"/>
        </w:rPr>
        <w:t>项目总体情况</w:t>
      </w:r>
    </w:p>
    <w:p>
      <w:pPr>
        <w:numPr>
          <w:ilvl w:val="0"/>
          <w:numId w:val="2"/>
        </w:numPr>
        <w:spacing w:line="620" w:lineRule="exact"/>
        <w:ind w:firstLine="641"/>
        <w:rPr>
          <w:rFonts w:hint="eastAsia" w:ascii="仿宋" w:hAnsi="仿宋" w:eastAsia="仿宋"/>
          <w:b w:val="0"/>
          <w:bCs/>
          <w:kern w:val="0"/>
          <w:sz w:val="32"/>
          <w:szCs w:val="32"/>
          <w:lang w:val="en-US" w:eastAsia="zh-CN"/>
        </w:rPr>
      </w:pPr>
      <w:r>
        <w:rPr>
          <w:rFonts w:hint="eastAsia" w:ascii="仿宋" w:hAnsi="仿宋" w:eastAsia="仿宋"/>
          <w:b w:val="0"/>
          <w:bCs/>
          <w:kern w:val="0"/>
          <w:sz w:val="32"/>
          <w:szCs w:val="32"/>
          <w:lang w:val="en-US" w:eastAsia="zh-CN"/>
        </w:rPr>
        <w:t>项目实施依据：根据《关于推进养老机构责任保险工作的指导意见》（民发</w:t>
      </w:r>
      <w:r>
        <w:rPr>
          <w:rFonts w:hint="eastAsia" w:ascii="仿宋" w:hAnsi="仿宋" w:eastAsia="仿宋" w:cs="仿宋"/>
          <w:b w:val="0"/>
          <w:bCs/>
          <w:kern w:val="0"/>
          <w:sz w:val="32"/>
          <w:szCs w:val="32"/>
          <w:lang w:val="en-US" w:eastAsia="zh-CN"/>
        </w:rPr>
        <w:t>〔2014〕47号</w:t>
      </w:r>
      <w:r>
        <w:rPr>
          <w:rFonts w:hint="eastAsia" w:ascii="仿宋" w:hAnsi="仿宋" w:eastAsia="仿宋"/>
          <w:b w:val="0"/>
          <w:bCs/>
          <w:kern w:val="0"/>
          <w:sz w:val="32"/>
          <w:szCs w:val="32"/>
          <w:lang w:val="en-US" w:eastAsia="zh-CN"/>
        </w:rPr>
        <w:t>）和《关于推行养老机构责任保险的意见》（闽民</w:t>
      </w:r>
      <w:r>
        <w:rPr>
          <w:rFonts w:hint="eastAsia" w:ascii="仿宋" w:hAnsi="仿宋" w:eastAsia="仿宋" w:cs="仿宋"/>
          <w:b w:val="0"/>
          <w:bCs/>
          <w:kern w:val="0"/>
          <w:sz w:val="32"/>
          <w:szCs w:val="32"/>
          <w:lang w:val="en-US" w:eastAsia="zh-CN"/>
        </w:rPr>
        <w:t>〔2014〕47号</w:t>
      </w:r>
      <w:r>
        <w:rPr>
          <w:rFonts w:hint="eastAsia" w:ascii="仿宋" w:hAnsi="仿宋" w:eastAsia="仿宋"/>
          <w:b w:val="0"/>
          <w:bCs/>
          <w:kern w:val="0"/>
          <w:sz w:val="32"/>
          <w:szCs w:val="32"/>
          <w:lang w:val="en-US" w:eastAsia="zh-CN"/>
        </w:rPr>
        <w:t>）精神，为完善养老机构风险分担机制，降低经营风险，促进我市养老服务产业健康发展，2016年我局联合财政局出台《关于推行养老机构责任保险的实施意见》（榕民</w:t>
      </w:r>
      <w:r>
        <w:rPr>
          <w:rFonts w:hint="eastAsia" w:ascii="仿宋" w:hAnsi="仿宋" w:eastAsia="仿宋" w:cs="仿宋"/>
          <w:b w:val="0"/>
          <w:bCs/>
          <w:kern w:val="0"/>
          <w:sz w:val="32"/>
          <w:szCs w:val="32"/>
          <w:lang w:val="en-US" w:eastAsia="zh-CN"/>
        </w:rPr>
        <w:t>〔2016〕220号</w:t>
      </w:r>
      <w:r>
        <w:rPr>
          <w:rFonts w:hint="eastAsia" w:ascii="仿宋" w:hAnsi="仿宋" w:eastAsia="仿宋"/>
          <w:b w:val="0"/>
          <w:bCs/>
          <w:kern w:val="0"/>
          <w:sz w:val="32"/>
          <w:szCs w:val="32"/>
          <w:lang w:val="en-US" w:eastAsia="zh-CN"/>
        </w:rPr>
        <w:t>）。市本级及五城区公办养老机构投保养老机构责任险所需资金由市财政予以全额补助，五城区民办养老机构投保养老机构责任险的保费由市级财政按每人每年120元予以补助，其余部分由民办养老机构自行承担。</w:t>
      </w:r>
    </w:p>
    <w:p>
      <w:pPr>
        <w:numPr>
          <w:ilvl w:val="0"/>
          <w:numId w:val="0"/>
        </w:numPr>
        <w:spacing w:line="620" w:lineRule="exact"/>
        <w:ind w:firstLine="640" w:firstLineChars="200"/>
        <w:rPr>
          <w:rFonts w:hint="eastAsia" w:ascii="仿宋" w:hAnsi="仿宋" w:eastAsia="仿宋"/>
          <w:b w:val="0"/>
          <w:bCs/>
          <w:kern w:val="0"/>
          <w:sz w:val="32"/>
          <w:szCs w:val="32"/>
          <w:lang w:val="en-US" w:eastAsia="zh-CN"/>
        </w:rPr>
      </w:pPr>
      <w:r>
        <w:rPr>
          <w:rFonts w:hint="eastAsia" w:ascii="仿宋" w:hAnsi="仿宋" w:eastAsia="仿宋"/>
          <w:b w:val="0"/>
          <w:bCs/>
          <w:kern w:val="0"/>
          <w:sz w:val="32"/>
          <w:szCs w:val="32"/>
          <w:lang w:val="en-US" w:eastAsia="zh-CN"/>
        </w:rPr>
        <w:t>各县（市）公办养老机构投保养老机构责任险所需资金由县（市）财政全额补助，民办养老机构购买养老机构购买养老机构责任保险的保费由县（市）财政按照每人每月120元予以补助，其余部分由民办养老机构自行承担。民办养老机构须于每个保险年度起保日之前办理投保手续并缴纳保险费用，方可申请上一保险年度的政府配套补助。养老机构以签订协议时实际入住老人数进行投保，民办养老机构以实际投保入住老人数作为申请政府财政补助的依据。</w:t>
      </w:r>
    </w:p>
    <w:p>
      <w:pPr>
        <w:numPr>
          <w:ilvl w:val="0"/>
          <w:numId w:val="2"/>
        </w:numPr>
        <w:spacing w:line="620" w:lineRule="exact"/>
        <w:ind w:firstLine="641" w:firstLineChars="0"/>
        <w:rPr>
          <w:rFonts w:hint="eastAsia" w:ascii="仿宋" w:hAnsi="仿宋" w:eastAsia="仿宋"/>
          <w:b w:val="0"/>
          <w:bCs/>
          <w:kern w:val="0"/>
          <w:sz w:val="32"/>
          <w:szCs w:val="32"/>
          <w:lang w:val="en-US" w:eastAsia="zh-CN"/>
        </w:rPr>
      </w:pPr>
      <w:r>
        <w:rPr>
          <w:rFonts w:hint="eastAsia" w:ascii="仿宋" w:hAnsi="仿宋" w:eastAsia="仿宋"/>
          <w:b w:val="0"/>
          <w:bCs/>
          <w:kern w:val="0"/>
          <w:sz w:val="32"/>
          <w:szCs w:val="32"/>
          <w:lang w:val="en-US" w:eastAsia="zh-CN"/>
        </w:rPr>
        <w:t>项目基本性质、用途和主要内容：通过政府支持，引导养老机构投保责任保险，有效化解养老机构意外责任的风险，为养老机构健康可持续发展提供有力保障。政府部门、保险经纪公司、保险公司、养老机构等多方参与，形成政府与社会组织、企业等各司其职协调配合的良好机制，提升社会服务能力和养老保险水平。保险对象为各级公办养老机构（包括社会福利中心、福利院、敬老院、光荣院、养老院等）、2014年以后经各级民政部门设立许可的民办养老机构和2014年以前经各级民政部门审批现进入整改阶段仍有提供养老服务的民办养老机构。</w:t>
      </w:r>
    </w:p>
    <w:p>
      <w:pPr>
        <w:numPr>
          <w:ilvl w:val="0"/>
          <w:numId w:val="2"/>
        </w:numPr>
        <w:spacing w:line="620" w:lineRule="exact"/>
        <w:ind w:firstLine="641" w:firstLineChars="0"/>
        <w:rPr>
          <w:rFonts w:hint="eastAsia" w:ascii="仿宋" w:hAnsi="仿宋" w:eastAsia="仿宋"/>
          <w:b w:val="0"/>
          <w:bCs/>
          <w:kern w:val="0"/>
          <w:sz w:val="32"/>
          <w:szCs w:val="32"/>
          <w:lang w:val="en-US" w:eastAsia="zh-CN"/>
        </w:rPr>
      </w:pPr>
      <w:r>
        <w:rPr>
          <w:rFonts w:hint="eastAsia" w:ascii="仿宋" w:hAnsi="仿宋" w:eastAsia="仿宋"/>
          <w:b w:val="0"/>
          <w:bCs/>
          <w:kern w:val="0"/>
          <w:sz w:val="32"/>
          <w:szCs w:val="32"/>
          <w:lang w:val="en-US" w:eastAsia="zh-CN"/>
        </w:rPr>
        <w:t>预期总投入情况及项目实施后的总体效益：该项目2017年实际财政预算市级补助资金</w:t>
      </w:r>
      <w:r>
        <w:rPr>
          <w:rFonts w:hint="default" w:ascii="仿宋" w:hAnsi="仿宋" w:eastAsia="仿宋"/>
          <w:b w:val="0"/>
          <w:bCs/>
          <w:kern w:val="0"/>
          <w:sz w:val="32"/>
          <w:szCs w:val="32"/>
          <w:lang w:val="en-US" w:eastAsia="zh-CN"/>
        </w:rPr>
        <w:t>34.45</w:t>
      </w:r>
      <w:r>
        <w:rPr>
          <w:rFonts w:hint="eastAsia" w:ascii="仿宋" w:hAnsi="仿宋" w:eastAsia="仿宋"/>
          <w:b w:val="0"/>
          <w:bCs/>
          <w:kern w:val="0"/>
          <w:sz w:val="32"/>
          <w:szCs w:val="32"/>
          <w:lang w:val="en-US" w:eastAsia="zh-CN"/>
        </w:rPr>
        <w:t>万元，预算批复</w:t>
      </w:r>
      <w:r>
        <w:rPr>
          <w:rFonts w:hint="default" w:ascii="仿宋" w:hAnsi="仿宋" w:eastAsia="仿宋"/>
          <w:b w:val="0"/>
          <w:bCs/>
          <w:kern w:val="0"/>
          <w:sz w:val="32"/>
          <w:szCs w:val="32"/>
          <w:lang w:val="en-US" w:eastAsia="zh-CN"/>
        </w:rPr>
        <w:t>34.45</w:t>
      </w:r>
      <w:r>
        <w:rPr>
          <w:rFonts w:hint="eastAsia" w:ascii="仿宋" w:hAnsi="仿宋" w:eastAsia="仿宋"/>
          <w:b w:val="0"/>
          <w:bCs/>
          <w:kern w:val="0"/>
          <w:sz w:val="32"/>
          <w:szCs w:val="32"/>
          <w:lang w:val="en-US" w:eastAsia="zh-CN"/>
        </w:rPr>
        <w:t>万元。2017年，根据项目执行情况，市财政局、民政局下达了《关于下达2016年度民办养老机构责任保险保费市级补助资金的通知》（榕财社（指）</w:t>
      </w:r>
      <w:r>
        <w:rPr>
          <w:rFonts w:hint="eastAsia" w:ascii="仿宋" w:hAnsi="仿宋" w:eastAsia="仿宋" w:cs="仿宋"/>
          <w:b w:val="0"/>
          <w:bCs/>
          <w:kern w:val="0"/>
          <w:sz w:val="32"/>
          <w:szCs w:val="32"/>
          <w:lang w:val="en-US" w:eastAsia="zh-CN"/>
        </w:rPr>
        <w:t>〔2017〕124号</w:t>
      </w:r>
      <w:r>
        <w:rPr>
          <w:rFonts w:hint="eastAsia" w:ascii="仿宋" w:hAnsi="仿宋" w:eastAsia="仿宋"/>
          <w:b w:val="0"/>
          <w:bCs/>
          <w:kern w:val="0"/>
          <w:sz w:val="32"/>
          <w:szCs w:val="32"/>
          <w:lang w:val="en-US" w:eastAsia="zh-CN"/>
        </w:rPr>
        <w:t>），共下拨民办养老机构责任保险保费市级补助资金16.884万元，其中鼓楼区6.816万元、仓山区7.56万元、晋安区1.236万元、马尾区1.272万元。</w:t>
      </w:r>
    </w:p>
    <w:p>
      <w:pPr>
        <w:numPr>
          <w:ilvl w:val="0"/>
          <w:numId w:val="0"/>
        </w:numPr>
        <w:spacing w:line="620" w:lineRule="exact"/>
        <w:rPr>
          <w:rFonts w:hint="eastAsia" w:ascii="仿宋" w:hAnsi="仿宋" w:eastAsia="仿宋"/>
          <w:b w:val="0"/>
          <w:bCs/>
          <w:kern w:val="0"/>
          <w:sz w:val="32"/>
          <w:szCs w:val="32"/>
          <w:lang w:val="en-US" w:eastAsia="zh-CN"/>
        </w:rPr>
      </w:pPr>
      <w:r>
        <w:rPr>
          <w:rFonts w:hint="eastAsia" w:ascii="仿宋" w:hAnsi="仿宋" w:eastAsia="仿宋"/>
          <w:b w:val="0"/>
          <w:bCs/>
          <w:kern w:val="0"/>
          <w:sz w:val="32"/>
          <w:szCs w:val="32"/>
          <w:lang w:val="en-US" w:eastAsia="zh-CN"/>
        </w:rPr>
        <w:t xml:space="preserve">    为提高资金使用效率，我局在年初为项目支出绩效评价设置了预算执行率、补助区县数、下达资金准确率、补助参保养老机构数、保障养老机构入住老人人数五个绩效目标。根据任务目标安排和养老机构的申请审批，我局及时向市财政申请下拨相关配套资金，完成年初设定的绩效目标。</w:t>
      </w:r>
    </w:p>
    <w:p>
      <w:pPr>
        <w:pStyle w:val="4"/>
        <w:framePr w:wrap="auto" w:vAnchor="margin" w:hAnchor="text" w:yAlign="inline"/>
        <w:spacing w:line="600" w:lineRule="exact"/>
        <w:ind w:firstLine="640" w:firstLineChars="200"/>
        <w:rPr>
          <w:rFonts w:ascii="黑体" w:hAnsi="黑体" w:eastAsia="黑体" w:cs="黑体"/>
          <w:sz w:val="32"/>
          <w:lang w:val="zh-TW" w:eastAsia="zh-TW"/>
        </w:rPr>
      </w:pPr>
      <w:r>
        <w:rPr>
          <w:rFonts w:ascii="黑体" w:hAnsi="黑体" w:eastAsia="黑体" w:cs="黑体"/>
          <w:sz w:val="32"/>
          <w:lang w:val="zh-TW" w:eastAsia="zh-TW"/>
        </w:rPr>
        <w:t>二、项目绩效自评结论</w:t>
      </w:r>
    </w:p>
    <w:p>
      <w:pPr>
        <w:pStyle w:val="4"/>
        <w:framePr w:wrap="auto" w:vAnchor="margin" w:hAnchor="text" w:yAlign="inline"/>
        <w:spacing w:line="600" w:lineRule="exact"/>
        <w:ind w:firstLine="640" w:firstLineChars="200"/>
        <w:rPr>
          <w:rFonts w:ascii="楷体" w:hAnsi="楷体" w:eastAsia="楷体" w:cs="仿宋"/>
          <w:bCs/>
          <w:sz w:val="32"/>
          <w:lang w:val="zh-TW" w:eastAsia="zh-TW"/>
        </w:rPr>
      </w:pPr>
      <w:r>
        <w:rPr>
          <w:rFonts w:ascii="楷体" w:hAnsi="楷体" w:eastAsia="楷体" w:cs="仿宋"/>
          <w:bCs/>
          <w:sz w:val="32"/>
          <w:lang w:val="zh-TW" w:eastAsia="zh-TW"/>
        </w:rPr>
        <w:t>（一）项目绩效自评得分及等级</w:t>
      </w:r>
    </w:p>
    <w:p>
      <w:pPr>
        <w:pStyle w:val="4"/>
        <w:framePr w:wrap="auto" w:vAnchor="margin" w:hAnchor="text" w:yAlign="inline"/>
        <w:spacing w:line="600" w:lineRule="exact"/>
        <w:ind w:firstLine="640" w:firstLineChars="200"/>
        <w:rPr>
          <w:rFonts w:ascii="仿宋" w:hAnsi="仿宋" w:eastAsia="仿宋" w:cs="仿宋"/>
          <w:color w:val="auto"/>
          <w:sz w:val="32"/>
        </w:rPr>
      </w:pPr>
      <w:r>
        <w:rPr>
          <w:rFonts w:ascii="仿宋" w:hAnsi="仿宋" w:eastAsia="仿宋" w:cs="仿宋"/>
          <w:color w:val="auto"/>
          <w:sz w:val="32"/>
          <w:lang w:val="zh-TW" w:eastAsia="zh-TW"/>
        </w:rPr>
        <w:t>项目绩效评价得分</w:t>
      </w:r>
      <w:r>
        <w:rPr>
          <w:rFonts w:ascii="仿宋" w:hAnsi="仿宋" w:eastAsia="仿宋" w:cs="仿宋"/>
          <w:color w:val="auto"/>
          <w:sz w:val="32"/>
          <w:lang w:val="en-US"/>
        </w:rPr>
        <w:t>83.45</w:t>
      </w:r>
      <w:r>
        <w:rPr>
          <w:rFonts w:ascii="仿宋" w:hAnsi="仿宋" w:eastAsia="仿宋" w:cs="仿宋"/>
          <w:color w:val="auto"/>
          <w:sz w:val="32"/>
          <w:lang w:val="zh-TW" w:eastAsia="zh-TW"/>
        </w:rPr>
        <w:t>分，等级为</w:t>
      </w:r>
      <w:r>
        <w:rPr>
          <w:rFonts w:ascii="仿宋" w:hAnsi="仿宋" w:eastAsia="仿宋" w:cs="仿宋"/>
          <w:color w:val="auto"/>
          <w:sz w:val="32"/>
          <w:lang w:val="zh-TW"/>
        </w:rPr>
        <w:t>良</w:t>
      </w:r>
      <w:r>
        <w:rPr>
          <w:rFonts w:ascii="仿宋" w:hAnsi="仿宋" w:eastAsia="仿宋" w:cs="仿宋"/>
          <w:color w:val="auto"/>
          <w:sz w:val="32"/>
          <w:lang w:val="zh-TW" w:eastAsia="zh-TW"/>
        </w:rPr>
        <w:t>。</w:t>
      </w:r>
    </w:p>
    <w:p>
      <w:pPr>
        <w:pStyle w:val="4"/>
        <w:framePr w:wrap="auto" w:vAnchor="margin" w:hAnchor="text" w:yAlign="inline"/>
        <w:spacing w:line="600" w:lineRule="exact"/>
        <w:ind w:firstLine="640" w:firstLineChars="200"/>
        <w:rPr>
          <w:rFonts w:ascii="楷体" w:hAnsi="楷体" w:eastAsia="楷体" w:cs="仿宋"/>
          <w:bCs/>
          <w:color w:val="auto"/>
          <w:sz w:val="32"/>
          <w:lang w:val="zh-TW" w:eastAsia="zh-TW"/>
        </w:rPr>
      </w:pPr>
      <w:r>
        <w:rPr>
          <w:rFonts w:ascii="楷体" w:hAnsi="楷体" w:eastAsia="楷体" w:cs="仿宋"/>
          <w:bCs/>
          <w:color w:val="auto"/>
          <w:sz w:val="32"/>
          <w:lang w:val="zh-TW" w:eastAsia="zh-TW"/>
        </w:rPr>
        <w:t>（二）项目期初绩效目标实现情况分析</w:t>
      </w:r>
    </w:p>
    <w:p>
      <w:pPr>
        <w:pStyle w:val="4"/>
        <w:framePr w:wrap="auto" w:vAnchor="margin" w:hAnchor="text" w:yAlign="inline"/>
        <w:spacing w:line="600" w:lineRule="exact"/>
        <w:ind w:firstLine="640" w:firstLineChars="200"/>
        <w:rPr>
          <w:rFonts w:ascii="仿宋" w:hAnsi="仿宋" w:eastAsia="仿宋" w:cs="仿宋"/>
          <w:color w:val="auto"/>
          <w:sz w:val="32"/>
        </w:rPr>
      </w:pPr>
      <w:r>
        <w:rPr>
          <w:rFonts w:ascii="仿宋" w:hAnsi="仿宋" w:eastAsia="仿宋" w:cs="仿宋"/>
          <w:color w:val="auto"/>
          <w:sz w:val="32"/>
        </w:rPr>
        <w:t>201</w:t>
      </w:r>
      <w:r>
        <w:rPr>
          <w:rFonts w:ascii="仿宋" w:hAnsi="仿宋" w:eastAsia="仿宋" w:cs="仿宋"/>
          <w:color w:val="auto"/>
          <w:sz w:val="32"/>
          <w:lang w:val="zh-CN"/>
        </w:rPr>
        <w:t>7</w:t>
      </w:r>
      <w:r>
        <w:rPr>
          <w:rFonts w:ascii="仿宋" w:hAnsi="仿宋" w:eastAsia="仿宋" w:cs="仿宋"/>
          <w:color w:val="auto"/>
          <w:sz w:val="32"/>
          <w:lang w:val="zh-TW" w:eastAsia="zh-TW"/>
        </w:rPr>
        <w:t>年项目设置了</w:t>
      </w:r>
      <w:r>
        <w:rPr>
          <w:rFonts w:ascii="仿宋" w:hAnsi="仿宋" w:eastAsia="仿宋" w:cs="仿宋"/>
          <w:color w:val="auto"/>
          <w:sz w:val="32"/>
          <w:lang w:val="en-US"/>
        </w:rPr>
        <w:t>5</w:t>
      </w:r>
      <w:r>
        <w:rPr>
          <w:rFonts w:ascii="仿宋" w:hAnsi="仿宋" w:eastAsia="仿宋" w:cs="仿宋"/>
          <w:color w:val="auto"/>
          <w:sz w:val="32"/>
          <w:lang w:val="zh-TW" w:eastAsia="zh-TW"/>
        </w:rPr>
        <w:t>个绩效目标，其中：</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color w:val="auto"/>
          <w:sz w:val="32"/>
          <w:lang w:val="zh-TW" w:eastAsia="zh-TW"/>
        </w:rPr>
        <w:t>第</w:t>
      </w:r>
      <w:r>
        <w:rPr>
          <w:rFonts w:hint="eastAsia" w:ascii="仿宋" w:hAnsi="仿宋" w:eastAsia="仿宋" w:cs="仿宋"/>
          <w:color w:val="auto"/>
          <w:sz w:val="32"/>
          <w:lang w:val="zh-TW" w:eastAsia="zh-CN"/>
        </w:rPr>
        <w:t>一</w:t>
      </w:r>
      <w:r>
        <w:rPr>
          <w:rFonts w:ascii="仿宋" w:hAnsi="仿宋" w:eastAsia="仿宋" w:cs="仿宋"/>
          <w:color w:val="auto"/>
          <w:sz w:val="32"/>
          <w:lang w:val="zh-TW" w:eastAsia="zh-TW"/>
        </w:rPr>
        <w:t>是成本目标，绩效目标内容是</w:t>
      </w:r>
      <w:r>
        <w:rPr>
          <w:rFonts w:hint="eastAsia" w:ascii="仿宋" w:hAnsi="仿宋" w:eastAsia="仿宋" w:cs="仿宋"/>
          <w:color w:val="auto"/>
          <w:sz w:val="32"/>
          <w:lang w:val="zh-TW" w:eastAsia="zh-CN"/>
        </w:rPr>
        <w:t>预算执行率</w:t>
      </w:r>
      <w:r>
        <w:rPr>
          <w:rFonts w:ascii="仿宋" w:hAnsi="仿宋" w:eastAsia="仿宋" w:cs="仿宋"/>
          <w:color w:val="auto"/>
          <w:sz w:val="32"/>
          <w:lang w:val="zh-TW" w:eastAsia="zh-TW"/>
        </w:rPr>
        <w:t>，绩效目标值是</w:t>
      </w:r>
      <w:r>
        <w:rPr>
          <w:rFonts w:ascii="仿宋" w:hAnsi="仿宋" w:eastAsia="仿宋" w:cs="仿宋"/>
          <w:color w:val="auto"/>
          <w:sz w:val="32"/>
        </w:rPr>
        <w:t>201</w:t>
      </w:r>
      <w:r>
        <w:rPr>
          <w:rFonts w:ascii="仿宋" w:hAnsi="仿宋" w:eastAsia="仿宋" w:cs="仿宋"/>
          <w:color w:val="auto"/>
          <w:sz w:val="32"/>
          <w:lang w:val="zh-CN"/>
        </w:rPr>
        <w:t>7</w:t>
      </w:r>
      <w:r>
        <w:rPr>
          <w:rFonts w:ascii="仿宋" w:hAnsi="仿宋" w:eastAsia="仿宋" w:cs="仿宋"/>
          <w:color w:val="auto"/>
          <w:sz w:val="32"/>
          <w:lang w:val="zh-TW" w:eastAsia="zh-TW"/>
        </w:rPr>
        <w:t>年不低于</w:t>
      </w:r>
      <w:r>
        <w:rPr>
          <w:rFonts w:hint="eastAsia" w:ascii="仿宋" w:hAnsi="仿宋" w:eastAsia="仿宋" w:cs="仿宋"/>
          <w:color w:val="auto"/>
          <w:sz w:val="32"/>
          <w:lang w:val="en-US" w:eastAsia="zh-CN"/>
        </w:rPr>
        <w:t>95</w:t>
      </w:r>
      <w:r>
        <w:rPr>
          <w:rFonts w:ascii="仿宋" w:hAnsi="仿宋" w:eastAsia="仿宋" w:cs="仿宋"/>
          <w:color w:val="auto"/>
          <w:sz w:val="32"/>
        </w:rPr>
        <w:t>%</w:t>
      </w:r>
      <w:r>
        <w:rPr>
          <w:rFonts w:ascii="仿宋" w:hAnsi="仿宋" w:eastAsia="仿宋" w:cs="仿宋"/>
          <w:color w:val="auto"/>
          <w:sz w:val="32"/>
          <w:lang w:val="zh-TW" w:eastAsia="zh-TW"/>
        </w:rPr>
        <w:t>。实际完成情况为：</w:t>
      </w:r>
      <w:r>
        <w:rPr>
          <w:rFonts w:ascii="仿宋" w:hAnsi="仿宋" w:eastAsia="仿宋" w:cs="仿宋"/>
          <w:color w:val="auto"/>
          <w:sz w:val="32"/>
          <w:lang w:eastAsia="zh-TW"/>
        </w:rPr>
        <w:t>2</w:t>
      </w:r>
      <w:r>
        <w:rPr>
          <w:rFonts w:ascii="仿宋" w:hAnsi="仿宋" w:eastAsia="仿宋" w:cs="仿宋"/>
          <w:color w:val="auto"/>
          <w:sz w:val="32"/>
        </w:rPr>
        <w:t>01</w:t>
      </w:r>
      <w:r>
        <w:rPr>
          <w:rFonts w:ascii="仿宋" w:hAnsi="仿宋" w:eastAsia="仿宋" w:cs="仿宋"/>
          <w:color w:val="auto"/>
          <w:sz w:val="32"/>
          <w:lang w:val="zh-CN"/>
        </w:rPr>
        <w:t>7</w:t>
      </w:r>
      <w:r>
        <w:rPr>
          <w:rFonts w:ascii="仿宋" w:hAnsi="仿宋" w:eastAsia="仿宋" w:cs="仿宋"/>
          <w:color w:val="auto"/>
          <w:sz w:val="32"/>
          <w:lang w:val="zh-TW" w:eastAsia="zh-TW"/>
        </w:rPr>
        <w:t>年支出</w:t>
      </w:r>
      <w:r>
        <w:rPr>
          <w:rFonts w:hint="eastAsia" w:ascii="仿宋" w:hAnsi="仿宋" w:eastAsia="仿宋" w:cs="仿宋"/>
          <w:color w:val="auto"/>
          <w:sz w:val="32"/>
          <w:lang w:val="en-US" w:eastAsia="zh-CN"/>
        </w:rPr>
        <w:t>16.884</w:t>
      </w:r>
      <w:r>
        <w:rPr>
          <w:rFonts w:ascii="仿宋" w:hAnsi="仿宋" w:eastAsia="仿宋" w:cs="仿宋"/>
          <w:color w:val="auto"/>
          <w:sz w:val="32"/>
          <w:lang w:val="zh-TW" w:eastAsia="zh-TW"/>
        </w:rPr>
        <w:t>万元，完成率达</w:t>
      </w:r>
      <w:r>
        <w:rPr>
          <w:rFonts w:hint="eastAsia" w:ascii="仿宋" w:hAnsi="仿宋" w:eastAsia="仿宋" w:cs="仿宋"/>
          <w:color w:val="auto"/>
          <w:sz w:val="32"/>
          <w:lang w:val="en-US" w:eastAsia="zh-CN"/>
        </w:rPr>
        <w:t>49.01</w:t>
      </w:r>
      <w:r>
        <w:rPr>
          <w:rFonts w:ascii="仿宋" w:hAnsi="仿宋" w:eastAsia="仿宋" w:cs="仿宋"/>
          <w:color w:val="auto"/>
          <w:sz w:val="32"/>
        </w:rPr>
        <w:t>%，目标完成度</w:t>
      </w:r>
      <w:r>
        <w:rPr>
          <w:rFonts w:hint="eastAsia" w:ascii="仿宋" w:hAnsi="仿宋" w:eastAsia="仿宋" w:cs="仿宋"/>
          <w:color w:val="auto"/>
          <w:sz w:val="32"/>
          <w:lang w:val="en-US" w:eastAsia="zh-CN"/>
        </w:rPr>
        <w:t>51.59</w:t>
      </w:r>
      <w:r>
        <w:rPr>
          <w:rFonts w:ascii="仿宋" w:hAnsi="仿宋" w:eastAsia="仿宋" w:cs="仿宋"/>
          <w:color w:val="auto"/>
          <w:sz w:val="32"/>
        </w:rPr>
        <w:t>%</w:t>
      </w:r>
      <w:r>
        <w:rPr>
          <w:rFonts w:ascii="仿宋" w:hAnsi="仿宋" w:eastAsia="仿宋" w:cs="仿宋"/>
          <w:color w:val="auto"/>
          <w:sz w:val="32"/>
          <w:lang w:val="zh-TW" w:eastAsia="zh-TW"/>
        </w:rPr>
        <w:t>。</w:t>
      </w:r>
      <w:r>
        <w:rPr>
          <w:rFonts w:hint="eastAsia" w:ascii="仿宋" w:hAnsi="仿宋" w:eastAsia="仿宋" w:cs="仿宋"/>
          <w:color w:val="auto"/>
          <w:sz w:val="32"/>
          <w:lang w:val="zh-TW" w:eastAsia="zh-CN"/>
        </w:rPr>
        <w:t>目标未完成原因：养老机构责任险的保险</w:t>
      </w:r>
      <w:r>
        <w:rPr>
          <w:rFonts w:hint="eastAsia" w:ascii="仿宋" w:hAnsi="仿宋" w:eastAsia="仿宋" w:cs="仿宋"/>
          <w:sz w:val="32"/>
          <w:lang w:val="zh-TW" w:eastAsia="zh-CN"/>
        </w:rPr>
        <w:t>对象为各级公办养老机构、</w:t>
      </w:r>
      <w:r>
        <w:rPr>
          <w:rFonts w:hint="eastAsia" w:ascii="仿宋" w:hAnsi="仿宋" w:eastAsia="仿宋" w:cs="仿宋"/>
          <w:sz w:val="32"/>
          <w:lang w:val="en-US" w:eastAsia="zh-CN"/>
        </w:rPr>
        <w:t>2014年以后经各级民政部门设立许可的民办养老机构和2014年以前经各级民政部门审批后进入整改阶段仍有提供养老服务的民办养老机构。在制定预算目标时按照我市民办养老机构情况预设了16家民办养老机构，</w:t>
      </w:r>
      <w:r>
        <w:rPr>
          <w:rFonts w:hint="eastAsia" w:ascii="仿宋" w:hAnsi="仿宋" w:eastAsia="仿宋" w:cs="仿宋"/>
          <w:sz w:val="32"/>
          <w:lang w:val="zh-TW" w:eastAsia="zh-CN"/>
        </w:rPr>
        <w:t>因</w:t>
      </w:r>
      <w:r>
        <w:rPr>
          <w:rFonts w:hint="eastAsia" w:ascii="仿宋" w:hAnsi="仿宋" w:eastAsia="仿宋" w:cs="仿宋"/>
          <w:sz w:val="32"/>
          <w:lang w:val="en-US" w:eastAsia="zh-CN"/>
        </w:rPr>
        <w:t>2014年以前经各级民政部门审批后进入整改阶段的部分民办养老机构</w:t>
      </w:r>
      <w:r>
        <w:rPr>
          <w:rFonts w:hint="eastAsia" w:ascii="仿宋" w:hAnsi="仿宋" w:eastAsia="仿宋" w:cs="仿宋"/>
          <w:sz w:val="32"/>
          <w:lang w:val="zh-TW" w:eastAsia="zh-CN"/>
        </w:rPr>
        <w:t>消防整改未完成未能重新取得设立许可等原因，符合条件并申请补贴的民办养老机构锐减。</w:t>
      </w:r>
      <w:r>
        <w:rPr>
          <w:rFonts w:hint="eastAsia" w:ascii="仿宋" w:hAnsi="仿宋" w:eastAsia="仿宋" w:cs="仿宋"/>
          <w:sz w:val="32"/>
          <w:lang w:val="en-US" w:eastAsia="zh-CN"/>
        </w:rPr>
        <w:t>2016年鼓楼区、仓山区、晋安区、马尾区完成责任保险投保并申请市级财政补助的民办养老机构只有14家，根据民办养老机构机构申请和所在地区民政、财政部门审核批准，确认符合责任保费市级财政补助条件的投保人数为1407人，故相应保费市级财政补助金额16.884元。</w:t>
      </w:r>
    </w:p>
    <w:p>
      <w:pPr>
        <w:pStyle w:val="4"/>
        <w:framePr w:wrap="auto" w:vAnchor="margin" w:hAnchor="text" w:yAlign="inline"/>
        <w:spacing w:line="600" w:lineRule="exact"/>
        <w:ind w:firstLine="640" w:firstLineChars="200"/>
        <w:rPr>
          <w:rFonts w:ascii="仿宋" w:hAnsi="仿宋" w:eastAsia="仿宋" w:cs="仿宋"/>
          <w:sz w:val="32"/>
          <w:lang w:val="zh-TW" w:eastAsia="zh-TW"/>
        </w:rPr>
      </w:pPr>
      <w:r>
        <w:rPr>
          <w:rFonts w:ascii="仿宋" w:hAnsi="仿宋" w:eastAsia="仿宋" w:cs="仿宋"/>
          <w:sz w:val="32"/>
          <w:lang w:val="zh-TW" w:eastAsia="zh-TW"/>
        </w:rPr>
        <w:t>第</w:t>
      </w:r>
      <w:r>
        <w:rPr>
          <w:rFonts w:hint="eastAsia" w:ascii="仿宋" w:hAnsi="仿宋" w:eastAsia="仿宋" w:cs="仿宋"/>
          <w:sz w:val="32"/>
          <w:lang w:val="zh-TW" w:eastAsia="zh-CN"/>
        </w:rPr>
        <w:t>二</w:t>
      </w:r>
      <w:r>
        <w:rPr>
          <w:rFonts w:ascii="仿宋" w:hAnsi="仿宋" w:eastAsia="仿宋" w:cs="仿宋"/>
          <w:sz w:val="32"/>
          <w:lang w:val="zh-TW" w:eastAsia="zh-TW"/>
        </w:rPr>
        <w:t>是数量目标，绩效目标内容是补助区县数，绩效目标值是</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hint="eastAsia" w:ascii="仿宋" w:hAnsi="仿宋" w:eastAsia="仿宋" w:cs="仿宋"/>
          <w:sz w:val="32"/>
          <w:lang w:val="en-US" w:eastAsia="zh-CN"/>
        </w:rPr>
        <w:t>4</w:t>
      </w:r>
      <w:r>
        <w:rPr>
          <w:rFonts w:ascii="仿宋" w:hAnsi="仿宋" w:eastAsia="仿宋" w:cs="仿宋"/>
          <w:sz w:val="32"/>
          <w:lang w:val="zh-TW"/>
        </w:rPr>
        <w:t>个</w:t>
      </w:r>
      <w:r>
        <w:rPr>
          <w:rFonts w:ascii="仿宋" w:hAnsi="仿宋" w:eastAsia="仿宋" w:cs="仿宋"/>
          <w:sz w:val="32"/>
          <w:lang w:val="zh-TW" w:eastAsia="zh-TW"/>
        </w:rPr>
        <w:t>。实际完成情况为：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lang w:val="zh-TW"/>
        </w:rPr>
        <w:t>市级补助</w:t>
      </w:r>
      <w:r>
        <w:rPr>
          <w:rFonts w:hint="eastAsia" w:ascii="仿宋" w:hAnsi="仿宋" w:eastAsia="仿宋" w:cs="仿宋"/>
          <w:sz w:val="32"/>
          <w:lang w:val="en-US" w:eastAsia="zh-CN"/>
        </w:rPr>
        <w:t>4</w:t>
      </w:r>
      <w:r>
        <w:rPr>
          <w:rFonts w:hint="eastAsia" w:ascii="仿宋" w:hAnsi="仿宋" w:eastAsia="仿宋" w:cs="仿宋"/>
          <w:sz w:val="32"/>
          <w:lang w:val="zh-TW" w:eastAsia="zh-CN"/>
        </w:rPr>
        <w:t>个区</w:t>
      </w:r>
      <w:r>
        <w:rPr>
          <w:rFonts w:ascii="仿宋" w:hAnsi="仿宋" w:eastAsia="仿宋" w:cs="仿宋"/>
          <w:sz w:val="32"/>
          <w:lang w:val="zh-TW"/>
        </w:rPr>
        <w:t>，目标完成度</w:t>
      </w:r>
      <w:r>
        <w:rPr>
          <w:rFonts w:hint="eastAsia" w:ascii="仿宋" w:hAnsi="仿宋" w:eastAsia="仿宋" w:cs="仿宋"/>
          <w:sz w:val="32"/>
          <w:lang w:val="en-US" w:eastAsia="zh-CN"/>
        </w:rPr>
        <w:t>100</w:t>
      </w:r>
      <w:r>
        <w:rPr>
          <w:rFonts w:ascii="仿宋" w:hAnsi="仿宋" w:eastAsia="仿宋" w:cs="仿宋"/>
          <w:sz w:val="32"/>
        </w:rPr>
        <w:t>%</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仿宋" w:hAnsi="仿宋" w:eastAsia="仿宋" w:cs="仿宋"/>
          <w:sz w:val="32"/>
          <w:lang w:val="zh-TW" w:eastAsia="zh-TW"/>
        </w:rPr>
      </w:pPr>
      <w:r>
        <w:rPr>
          <w:rFonts w:ascii="仿宋" w:hAnsi="仿宋" w:eastAsia="仿宋" w:cs="仿宋"/>
          <w:sz w:val="32"/>
          <w:lang w:val="zh-TW" w:eastAsia="zh-TW"/>
        </w:rPr>
        <w:t>第</w:t>
      </w:r>
      <w:r>
        <w:rPr>
          <w:rFonts w:hint="eastAsia" w:ascii="仿宋" w:hAnsi="仿宋" w:eastAsia="仿宋" w:cs="仿宋"/>
          <w:sz w:val="32"/>
          <w:lang w:val="zh-TW" w:eastAsia="zh-CN"/>
        </w:rPr>
        <w:t>三</w:t>
      </w:r>
      <w:r>
        <w:rPr>
          <w:rFonts w:ascii="仿宋" w:hAnsi="仿宋" w:eastAsia="仿宋" w:cs="仿宋"/>
          <w:sz w:val="32"/>
          <w:lang w:val="zh-TW" w:eastAsia="zh-TW"/>
        </w:rPr>
        <w:t>是</w:t>
      </w:r>
      <w:r>
        <w:rPr>
          <w:rFonts w:hint="eastAsia" w:ascii="仿宋" w:hAnsi="仿宋" w:eastAsia="仿宋" w:cs="仿宋"/>
          <w:sz w:val="32"/>
          <w:lang w:val="zh-TW" w:eastAsia="zh-CN"/>
        </w:rPr>
        <w:t>质量</w:t>
      </w:r>
      <w:r>
        <w:rPr>
          <w:rFonts w:ascii="仿宋" w:hAnsi="仿宋" w:eastAsia="仿宋" w:cs="仿宋"/>
          <w:sz w:val="32"/>
          <w:lang w:val="zh-TW" w:eastAsia="zh-TW"/>
        </w:rPr>
        <w:t>目标，绩效目标内容是</w:t>
      </w:r>
      <w:r>
        <w:rPr>
          <w:rFonts w:hint="eastAsia" w:ascii="仿宋" w:hAnsi="仿宋" w:eastAsia="仿宋" w:cs="仿宋"/>
          <w:sz w:val="32"/>
          <w:lang w:val="zh-TW" w:eastAsia="zh-CN"/>
        </w:rPr>
        <w:t>下达资金准确率</w:t>
      </w:r>
      <w:r>
        <w:rPr>
          <w:rFonts w:ascii="仿宋" w:hAnsi="仿宋" w:eastAsia="仿宋" w:cs="仿宋"/>
          <w:sz w:val="32"/>
          <w:lang w:val="zh-TW" w:eastAsia="zh-TW"/>
        </w:rPr>
        <w:t>，绩效目标值是</w:t>
      </w:r>
      <w:r>
        <w:rPr>
          <w:rFonts w:hint="default" w:ascii="仿宋" w:hAnsi="仿宋" w:eastAsia="仿宋" w:cs="仿宋"/>
          <w:sz w:val="32"/>
          <w:lang w:val="en-US" w:eastAsia="zh-CN"/>
        </w:rPr>
        <w:t>100%</w:t>
      </w:r>
      <w:r>
        <w:rPr>
          <w:rFonts w:hint="eastAsia" w:ascii="仿宋" w:hAnsi="仿宋" w:eastAsia="仿宋" w:cs="仿宋"/>
          <w:sz w:val="32"/>
          <w:lang w:val="en-US" w:eastAsia="zh-CN"/>
        </w:rPr>
        <w:t>准确下达</w:t>
      </w:r>
      <w:r>
        <w:rPr>
          <w:rFonts w:ascii="仿宋" w:hAnsi="仿宋" w:eastAsia="仿宋" w:cs="仿宋"/>
          <w:sz w:val="32"/>
          <w:lang w:val="zh-TW" w:eastAsia="zh-TW"/>
        </w:rPr>
        <w:t>。实际完成情况为：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lang w:val="zh-TW"/>
        </w:rPr>
        <w:t>市级补助资金</w:t>
      </w:r>
      <w:r>
        <w:rPr>
          <w:rFonts w:hint="eastAsia" w:ascii="仿宋" w:hAnsi="仿宋" w:eastAsia="仿宋" w:cs="仿宋"/>
          <w:sz w:val="32"/>
          <w:lang w:val="en-US" w:eastAsia="zh-CN"/>
        </w:rPr>
        <w:t>100%</w:t>
      </w:r>
      <w:r>
        <w:rPr>
          <w:rFonts w:hint="eastAsia" w:ascii="仿宋" w:hAnsi="仿宋" w:eastAsia="仿宋" w:cs="仿宋"/>
          <w:sz w:val="32"/>
          <w:lang w:val="zh-TW" w:eastAsia="zh-CN"/>
        </w:rPr>
        <w:t>准确下达四个区</w:t>
      </w:r>
      <w:r>
        <w:rPr>
          <w:rFonts w:ascii="仿宋" w:hAnsi="仿宋" w:eastAsia="仿宋" w:cs="仿宋"/>
          <w:sz w:val="32"/>
          <w:lang w:val="zh-TW"/>
        </w:rPr>
        <w:t>，目标完成度</w:t>
      </w:r>
      <w:r>
        <w:rPr>
          <w:rFonts w:hint="eastAsia" w:ascii="仿宋" w:hAnsi="仿宋" w:eastAsia="仿宋" w:cs="仿宋"/>
          <w:sz w:val="32"/>
          <w:lang w:val="en-US" w:eastAsia="zh-CN"/>
        </w:rPr>
        <w:t>100</w:t>
      </w:r>
      <w:r>
        <w:rPr>
          <w:rFonts w:ascii="仿宋" w:hAnsi="仿宋" w:eastAsia="仿宋" w:cs="仿宋"/>
          <w:sz w:val="32"/>
        </w:rPr>
        <w:t>%</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仿宋" w:hAnsi="仿宋" w:eastAsia="仿宋" w:cs="仿宋"/>
          <w:sz w:val="32"/>
          <w:lang w:val="zh-TW" w:eastAsia="zh-TW"/>
        </w:rPr>
      </w:pPr>
      <w:r>
        <w:rPr>
          <w:rFonts w:ascii="仿宋" w:hAnsi="仿宋" w:eastAsia="仿宋" w:cs="仿宋"/>
          <w:sz w:val="32"/>
          <w:lang w:val="zh-TW" w:eastAsia="zh-TW"/>
        </w:rPr>
        <w:t>第四是社会效益目标，绩效目标内容是</w:t>
      </w:r>
      <w:r>
        <w:rPr>
          <w:rFonts w:hint="eastAsia" w:ascii="仿宋" w:hAnsi="仿宋" w:eastAsia="仿宋" w:cs="仿宋"/>
          <w:sz w:val="32"/>
          <w:lang w:val="zh-TW" w:eastAsia="zh-CN"/>
        </w:rPr>
        <w:t>补助参保养老机构数</w:t>
      </w:r>
      <w:r>
        <w:rPr>
          <w:rFonts w:ascii="仿宋" w:hAnsi="仿宋" w:eastAsia="仿宋" w:cs="仿宋"/>
          <w:sz w:val="32"/>
          <w:lang w:val="zh-TW"/>
        </w:rPr>
        <w:t>，</w:t>
      </w:r>
      <w:r>
        <w:rPr>
          <w:rFonts w:ascii="仿宋" w:hAnsi="仿宋" w:eastAsia="仿宋" w:cs="仿宋"/>
          <w:sz w:val="32"/>
          <w:lang w:val="zh-TW" w:eastAsia="zh-TW"/>
        </w:rPr>
        <w:t>绩效目标值是</w:t>
      </w:r>
      <w:r>
        <w:rPr>
          <w:rFonts w:hint="eastAsia" w:ascii="仿宋" w:hAnsi="仿宋" w:eastAsia="仿宋" w:cs="仿宋"/>
          <w:sz w:val="32"/>
          <w:lang w:eastAsia="zh-CN"/>
        </w:rPr>
        <w:t>补助不低于</w:t>
      </w:r>
      <w:r>
        <w:rPr>
          <w:rFonts w:hint="eastAsia" w:ascii="仿宋" w:hAnsi="仿宋" w:eastAsia="仿宋" w:cs="仿宋"/>
          <w:sz w:val="32"/>
          <w:lang w:val="en-US" w:eastAsia="zh-CN"/>
        </w:rPr>
        <w:t>16家</w:t>
      </w:r>
      <w:r>
        <w:rPr>
          <w:rFonts w:hint="eastAsia" w:ascii="仿宋" w:hAnsi="仿宋" w:eastAsia="仿宋" w:cs="仿宋"/>
          <w:sz w:val="32"/>
          <w:lang w:eastAsia="zh-CN"/>
        </w:rPr>
        <w:t>养老机构</w:t>
      </w:r>
      <w:r>
        <w:rPr>
          <w:rFonts w:ascii="仿宋" w:hAnsi="仿宋" w:eastAsia="仿宋" w:cs="仿宋"/>
          <w:sz w:val="32"/>
          <w:lang w:val="zh-TW" w:eastAsia="zh-TW"/>
        </w:rPr>
        <w:t>。实际完成情况为：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hint="eastAsia" w:ascii="仿宋" w:hAnsi="仿宋" w:eastAsia="仿宋" w:cs="仿宋"/>
          <w:sz w:val="32"/>
          <w:lang w:val="zh-TW" w:eastAsia="zh-CN"/>
        </w:rPr>
        <w:t>符合条件的养老机构数</w:t>
      </w:r>
      <w:r>
        <w:rPr>
          <w:rFonts w:hint="eastAsia" w:ascii="仿宋" w:hAnsi="仿宋" w:eastAsia="仿宋" w:cs="仿宋"/>
          <w:sz w:val="32"/>
          <w:lang w:val="en-US" w:eastAsia="zh-CN"/>
        </w:rPr>
        <w:t>14家</w:t>
      </w:r>
      <w:r>
        <w:rPr>
          <w:rFonts w:ascii="仿宋" w:hAnsi="仿宋" w:eastAsia="仿宋" w:cs="仿宋"/>
          <w:sz w:val="32"/>
          <w:lang w:val="zh-TW"/>
        </w:rPr>
        <w:t>，目标完成度</w:t>
      </w:r>
      <w:r>
        <w:rPr>
          <w:rFonts w:hint="eastAsia" w:ascii="仿宋" w:hAnsi="仿宋" w:eastAsia="仿宋" w:cs="仿宋"/>
          <w:sz w:val="32"/>
          <w:lang w:val="en-US" w:eastAsia="zh-CN"/>
        </w:rPr>
        <w:t>87.5</w:t>
      </w:r>
      <w:r>
        <w:rPr>
          <w:rFonts w:ascii="仿宋" w:hAnsi="仿宋" w:eastAsia="仿宋" w:cs="仿宋"/>
          <w:sz w:val="32"/>
        </w:rPr>
        <w:t>%</w:t>
      </w:r>
      <w:r>
        <w:rPr>
          <w:rFonts w:ascii="仿宋" w:hAnsi="仿宋" w:eastAsia="仿宋" w:cs="仿宋"/>
          <w:sz w:val="32"/>
          <w:lang w:val="zh-TW" w:eastAsia="zh-TW"/>
        </w:rPr>
        <w:t>。</w:t>
      </w:r>
      <w:r>
        <w:rPr>
          <w:rFonts w:hint="eastAsia" w:ascii="仿宋" w:hAnsi="仿宋" w:eastAsia="仿宋" w:cs="仿宋"/>
          <w:sz w:val="32"/>
          <w:lang w:val="zh-TW" w:eastAsia="zh-CN"/>
        </w:rPr>
        <w:t>因</w:t>
      </w:r>
      <w:r>
        <w:rPr>
          <w:rFonts w:hint="eastAsia" w:ascii="仿宋" w:hAnsi="仿宋" w:eastAsia="仿宋" w:cs="仿宋"/>
          <w:sz w:val="32"/>
          <w:lang w:val="en-US" w:eastAsia="zh-CN"/>
        </w:rPr>
        <w:t>2014年养老机构设立许可办法出台后，对养老机构的建筑和消防要求较高，取得设立许可的民办养老机构数量偏少，2016年鼓楼区、仓山区、晋安区、马尾区符合条件并申请市级财政补助的民办养老机构只有14家。</w:t>
      </w:r>
    </w:p>
    <w:p>
      <w:pPr>
        <w:pStyle w:val="4"/>
        <w:framePr w:wrap="auto" w:vAnchor="margin" w:hAnchor="text" w:yAlign="inline"/>
        <w:spacing w:line="600" w:lineRule="exact"/>
        <w:ind w:firstLine="640" w:firstLineChars="200"/>
        <w:rPr>
          <w:rFonts w:ascii="仿宋" w:hAnsi="仿宋" w:eastAsia="仿宋" w:cs="仿宋"/>
          <w:sz w:val="32"/>
          <w:lang w:val="zh-TW" w:eastAsia="zh-TW"/>
        </w:rPr>
      </w:pPr>
      <w:r>
        <w:rPr>
          <w:rFonts w:ascii="仿宋" w:hAnsi="仿宋" w:eastAsia="仿宋" w:cs="仿宋"/>
          <w:sz w:val="32"/>
          <w:lang w:val="zh-TW" w:eastAsia="zh-TW"/>
        </w:rPr>
        <w:t>第</w:t>
      </w:r>
      <w:r>
        <w:rPr>
          <w:rFonts w:hint="eastAsia" w:ascii="仿宋" w:hAnsi="仿宋" w:eastAsia="仿宋" w:cs="仿宋"/>
          <w:sz w:val="32"/>
          <w:lang w:val="zh-TW" w:eastAsia="zh-CN"/>
        </w:rPr>
        <w:t>五</w:t>
      </w:r>
      <w:r>
        <w:rPr>
          <w:rFonts w:ascii="仿宋" w:hAnsi="仿宋" w:eastAsia="仿宋" w:cs="仿宋"/>
          <w:sz w:val="32"/>
          <w:lang w:val="zh-TW" w:eastAsia="zh-TW"/>
        </w:rPr>
        <w:t>是社会效益目标，绩效目标内容是</w:t>
      </w:r>
      <w:r>
        <w:rPr>
          <w:rFonts w:hint="eastAsia" w:ascii="仿宋" w:hAnsi="仿宋" w:eastAsia="仿宋" w:cs="仿宋"/>
          <w:sz w:val="32"/>
          <w:lang w:val="zh-TW" w:eastAsia="zh-CN"/>
        </w:rPr>
        <w:t>保障养老机构入住老人人数</w:t>
      </w:r>
      <w:r>
        <w:rPr>
          <w:rFonts w:ascii="仿宋" w:hAnsi="仿宋" w:eastAsia="仿宋" w:cs="仿宋"/>
          <w:sz w:val="32"/>
          <w:lang w:val="zh-TW"/>
        </w:rPr>
        <w:t>，</w:t>
      </w:r>
      <w:r>
        <w:rPr>
          <w:rFonts w:ascii="仿宋" w:hAnsi="仿宋" w:eastAsia="仿宋" w:cs="仿宋"/>
          <w:sz w:val="32"/>
          <w:lang w:val="zh-TW" w:eastAsia="zh-TW"/>
        </w:rPr>
        <w:t>绩效目标值是</w:t>
      </w:r>
      <w:r>
        <w:rPr>
          <w:rFonts w:hint="eastAsia" w:ascii="仿宋" w:hAnsi="仿宋" w:eastAsia="仿宋" w:cs="仿宋"/>
          <w:sz w:val="32"/>
          <w:lang w:val="en-US" w:eastAsia="zh-CN"/>
        </w:rPr>
        <w:t>2017年不低于1800人</w:t>
      </w:r>
      <w:r>
        <w:rPr>
          <w:rFonts w:ascii="仿宋" w:hAnsi="仿宋" w:eastAsia="仿宋" w:cs="仿宋"/>
          <w:sz w:val="32"/>
          <w:lang w:val="zh-TW" w:eastAsia="zh-TW"/>
        </w:rPr>
        <w:t>。实际完成情况为：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hint="eastAsia" w:ascii="仿宋" w:hAnsi="仿宋" w:eastAsia="仿宋" w:cs="仿宋"/>
          <w:sz w:val="32"/>
          <w:lang w:val="zh-TW" w:eastAsia="zh-CN"/>
        </w:rPr>
        <w:t>保障养老机构入住老人人数为</w:t>
      </w:r>
      <w:r>
        <w:rPr>
          <w:rFonts w:hint="eastAsia" w:ascii="仿宋" w:hAnsi="仿宋" w:eastAsia="仿宋" w:cs="仿宋"/>
          <w:sz w:val="32"/>
          <w:lang w:val="en-US" w:eastAsia="zh-CN"/>
        </w:rPr>
        <w:t>1407人</w:t>
      </w:r>
      <w:r>
        <w:rPr>
          <w:rFonts w:ascii="仿宋" w:hAnsi="仿宋" w:eastAsia="仿宋" w:cs="仿宋"/>
          <w:sz w:val="32"/>
          <w:lang w:val="zh-TW"/>
        </w:rPr>
        <w:t>，目标完成度</w:t>
      </w:r>
      <w:r>
        <w:rPr>
          <w:rFonts w:hint="eastAsia" w:ascii="仿宋" w:hAnsi="仿宋" w:eastAsia="仿宋" w:cs="仿宋"/>
          <w:sz w:val="32"/>
          <w:lang w:val="en-US" w:eastAsia="zh-CN"/>
        </w:rPr>
        <w:t>78.17</w:t>
      </w:r>
      <w:r>
        <w:rPr>
          <w:rFonts w:ascii="仿宋" w:hAnsi="仿宋" w:eastAsia="仿宋" w:cs="仿宋"/>
          <w:sz w:val="32"/>
        </w:rPr>
        <w:t>%</w:t>
      </w:r>
      <w:r>
        <w:rPr>
          <w:rFonts w:ascii="仿宋" w:hAnsi="仿宋" w:eastAsia="仿宋" w:cs="仿宋"/>
          <w:sz w:val="32"/>
          <w:lang w:val="zh-TW" w:eastAsia="zh-TW"/>
        </w:rPr>
        <w:t>。</w:t>
      </w:r>
    </w:p>
    <w:p>
      <w:pPr>
        <w:pStyle w:val="4"/>
        <w:framePr w:wrap="auto" w:vAnchor="margin" w:hAnchor="text" w:yAlign="inline"/>
        <w:spacing w:line="600" w:lineRule="exact"/>
        <w:ind w:firstLine="480" w:firstLineChars="150"/>
        <w:rPr>
          <w:rFonts w:ascii="楷体" w:hAnsi="楷体" w:eastAsia="楷体" w:cs="仿宋"/>
          <w:bCs/>
          <w:sz w:val="32"/>
          <w:lang w:val="zh-TW" w:eastAsia="zh-TW"/>
        </w:rPr>
      </w:pPr>
      <w:r>
        <w:rPr>
          <w:rFonts w:ascii="楷体" w:hAnsi="楷体" w:eastAsia="楷体" w:cs="仿宋"/>
          <w:bCs/>
          <w:sz w:val="32"/>
          <w:lang w:val="zh-TW" w:eastAsia="zh-TW"/>
        </w:rPr>
        <w:t>（三）项目实施过程中存在的问题和改进建议</w:t>
      </w:r>
    </w:p>
    <w:p>
      <w:pPr>
        <w:pStyle w:val="4"/>
        <w:framePr w:wrap="auto" w:vAnchor="margin" w:hAnchor="text" w:yAlign="inline"/>
        <w:spacing w:line="600" w:lineRule="exact"/>
        <w:ind w:firstLine="640" w:firstLineChars="200"/>
        <w:rPr>
          <w:rFonts w:ascii="楷体" w:hAnsi="楷体" w:eastAsia="楷体" w:cs="仿宋_GB2312"/>
          <w:bCs/>
          <w:sz w:val="32"/>
          <w:lang w:val="zh-TW" w:eastAsia="zh-TW"/>
        </w:rPr>
      </w:pPr>
      <w:r>
        <w:rPr>
          <w:rFonts w:ascii="楷体" w:hAnsi="楷体" w:eastAsia="楷体" w:cs="仿宋_GB2312"/>
          <w:bCs/>
          <w:sz w:val="32"/>
        </w:rPr>
        <w:t>1.</w:t>
      </w:r>
      <w:r>
        <w:rPr>
          <w:rFonts w:ascii="楷体" w:hAnsi="楷体" w:eastAsia="楷体" w:cs="仿宋_GB2312"/>
          <w:bCs/>
          <w:sz w:val="32"/>
          <w:lang w:val="zh-TW" w:eastAsia="zh-TW"/>
        </w:rPr>
        <w:t>存在问题</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hint="eastAsia" w:ascii="仿宋" w:hAnsi="仿宋" w:eastAsia="仿宋" w:cs="仿宋"/>
          <w:sz w:val="32"/>
          <w:lang w:val="zh-TW" w:eastAsia="zh-CN"/>
        </w:rPr>
        <w:t>养老机构责任保险</w:t>
      </w:r>
      <w:r>
        <w:rPr>
          <w:rFonts w:ascii="仿宋" w:hAnsi="仿宋" w:eastAsia="仿宋" w:cs="仿宋"/>
          <w:sz w:val="32"/>
          <w:lang w:val="zh-TW" w:eastAsia="zh-TW"/>
        </w:rPr>
        <w:t>项目在实施中存在</w:t>
      </w:r>
      <w:r>
        <w:rPr>
          <w:rFonts w:ascii="仿宋" w:hAnsi="仿宋" w:eastAsia="仿宋" w:cs="仿宋"/>
          <w:sz w:val="32"/>
          <w:lang w:val="zh-CN"/>
        </w:rPr>
        <w:t>四</w:t>
      </w:r>
      <w:r>
        <w:rPr>
          <w:rFonts w:ascii="仿宋" w:hAnsi="仿宋" w:eastAsia="仿宋" w:cs="仿宋"/>
          <w:sz w:val="32"/>
          <w:lang w:val="zh-TW" w:eastAsia="zh-TW"/>
        </w:rPr>
        <w:t>个问题：</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sz w:val="32"/>
          <w:lang w:val="zh-TW"/>
        </w:rPr>
        <w:t>（1）</w:t>
      </w:r>
      <w:r>
        <w:rPr>
          <w:rFonts w:ascii="仿宋" w:hAnsi="仿宋" w:eastAsia="仿宋" w:cs="仿宋"/>
          <w:sz w:val="32"/>
          <w:lang w:val="zh-TW" w:eastAsia="zh-TW"/>
        </w:rPr>
        <w:t>在资格认定上，存在</w:t>
      </w:r>
      <w:r>
        <w:rPr>
          <w:rFonts w:hint="eastAsia" w:ascii="仿宋" w:hAnsi="仿宋" w:eastAsia="仿宋" w:cs="仿宋"/>
          <w:sz w:val="32"/>
          <w:lang w:val="zh-TW" w:eastAsia="zh-CN"/>
        </w:rPr>
        <w:t>符合条件保险对象少，特别是取得民政部门设立许可的民办养老机构很少</w:t>
      </w:r>
      <w:r>
        <w:rPr>
          <w:rFonts w:ascii="仿宋" w:hAnsi="仿宋" w:eastAsia="仿宋" w:cs="仿宋"/>
          <w:sz w:val="32"/>
          <w:lang w:val="zh-TW" w:eastAsia="zh-TW"/>
        </w:rPr>
        <w:t>的问题</w:t>
      </w:r>
      <w:r>
        <w:rPr>
          <w:rFonts w:ascii="仿宋" w:hAnsi="仿宋" w:eastAsia="仿宋" w:cs="仿宋"/>
          <w:sz w:val="32"/>
          <w:lang w:val="zh-TW"/>
        </w:rPr>
        <w:t>。</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sz w:val="32"/>
          <w:lang w:val="zh-TW"/>
        </w:rPr>
        <w:t>（2）</w:t>
      </w:r>
      <w:r>
        <w:rPr>
          <w:rFonts w:ascii="仿宋" w:hAnsi="仿宋" w:eastAsia="仿宋" w:cs="仿宋"/>
          <w:sz w:val="32"/>
          <w:lang w:val="zh-TW" w:eastAsia="zh-TW"/>
        </w:rPr>
        <w:t>仍存在部分</w:t>
      </w:r>
      <w:r>
        <w:rPr>
          <w:rFonts w:hint="eastAsia" w:ascii="仿宋" w:hAnsi="仿宋" w:eastAsia="仿宋" w:cs="仿宋"/>
          <w:sz w:val="32"/>
          <w:lang w:val="zh-TW" w:eastAsia="zh-CN"/>
        </w:rPr>
        <w:t>养老机构</w:t>
      </w:r>
      <w:r>
        <w:rPr>
          <w:rFonts w:ascii="仿宋" w:hAnsi="仿宋" w:eastAsia="仿宋" w:cs="仿宋"/>
          <w:sz w:val="32"/>
          <w:lang w:val="zh-TW" w:eastAsia="zh-TW"/>
        </w:rPr>
        <w:t>对政策不了解或者了解不及时的情况</w:t>
      </w:r>
      <w:r>
        <w:rPr>
          <w:rFonts w:ascii="仿宋" w:hAnsi="仿宋" w:eastAsia="仿宋" w:cs="仿宋"/>
          <w:sz w:val="32"/>
          <w:lang w:val="zh-TW"/>
        </w:rPr>
        <w:t>。</w:t>
      </w:r>
    </w:p>
    <w:p>
      <w:pPr>
        <w:pStyle w:val="4"/>
        <w:framePr w:wrap="auto" w:vAnchor="margin" w:hAnchor="text" w:yAlign="inline"/>
        <w:spacing w:line="600" w:lineRule="exact"/>
        <w:ind w:firstLine="480" w:firstLineChars="150"/>
        <w:rPr>
          <w:rFonts w:ascii="仿宋" w:hAnsi="仿宋" w:eastAsia="仿宋" w:cs="仿宋"/>
          <w:sz w:val="32"/>
        </w:rPr>
      </w:pPr>
      <w:r>
        <w:rPr>
          <w:rFonts w:ascii="仿宋" w:hAnsi="仿宋" w:eastAsia="仿宋" w:cs="仿宋"/>
          <w:sz w:val="32"/>
          <w:lang w:val="zh-TW"/>
        </w:rPr>
        <w:t>（3）</w:t>
      </w:r>
      <w:r>
        <w:rPr>
          <w:rFonts w:hint="eastAsia" w:ascii="仿宋" w:hAnsi="仿宋" w:eastAsia="仿宋" w:cs="仿宋"/>
          <w:sz w:val="32"/>
          <w:lang w:val="zh-CN"/>
        </w:rPr>
        <w:t>养老机构责任保险</w:t>
      </w:r>
      <w:r>
        <w:rPr>
          <w:rFonts w:ascii="仿宋" w:hAnsi="仿宋" w:eastAsia="仿宋" w:cs="仿宋"/>
          <w:sz w:val="32"/>
          <w:lang w:val="zh-TW" w:eastAsia="zh-TW"/>
        </w:rPr>
        <w:t>制度还不够完善。</w:t>
      </w:r>
    </w:p>
    <w:p>
      <w:pPr>
        <w:pStyle w:val="4"/>
        <w:framePr w:wrap="auto" w:vAnchor="margin" w:hAnchor="text" w:yAlign="inline"/>
        <w:spacing w:line="600" w:lineRule="exact"/>
        <w:ind w:firstLine="640" w:firstLineChars="200"/>
        <w:rPr>
          <w:rFonts w:ascii="楷体" w:hAnsi="楷体" w:eastAsia="楷体" w:cs="仿宋_GB2312"/>
          <w:bCs/>
          <w:sz w:val="32"/>
          <w:lang w:val="zh-TW" w:eastAsia="zh-TW"/>
        </w:rPr>
      </w:pPr>
      <w:r>
        <w:rPr>
          <w:rFonts w:ascii="楷体" w:hAnsi="楷体" w:eastAsia="楷体" w:cs="仿宋_GB2312"/>
          <w:bCs/>
          <w:sz w:val="32"/>
        </w:rPr>
        <w:t>2.</w:t>
      </w:r>
      <w:r>
        <w:rPr>
          <w:rFonts w:ascii="楷体" w:hAnsi="楷体" w:eastAsia="楷体" w:cs="仿宋_GB2312"/>
          <w:bCs/>
          <w:sz w:val="32"/>
          <w:lang w:val="zh-TW"/>
        </w:rPr>
        <w:t>改进</w:t>
      </w:r>
      <w:r>
        <w:rPr>
          <w:rFonts w:ascii="楷体" w:hAnsi="楷体" w:eastAsia="楷体" w:cs="仿宋_GB2312"/>
          <w:bCs/>
          <w:sz w:val="32"/>
          <w:lang w:val="zh-TW" w:eastAsia="zh-TW"/>
        </w:rPr>
        <w:t>建议</w:t>
      </w:r>
    </w:p>
    <w:p>
      <w:pPr>
        <w:pStyle w:val="4"/>
        <w:framePr w:wrap="auto" w:vAnchor="margin" w:hAnchor="text" w:yAlign="inline"/>
        <w:spacing w:line="600" w:lineRule="exact"/>
        <w:ind w:firstLine="480" w:firstLineChars="150"/>
        <w:rPr>
          <w:rFonts w:ascii="仿宋" w:hAnsi="仿宋" w:eastAsia="仿宋" w:cs="仿宋"/>
          <w:sz w:val="32"/>
          <w:lang w:val="zh-TW"/>
        </w:rPr>
      </w:pPr>
      <w:r>
        <w:rPr>
          <w:rFonts w:ascii="仿宋" w:hAnsi="仿宋" w:eastAsia="仿宋" w:cs="仿宋"/>
          <w:bCs/>
          <w:sz w:val="32"/>
          <w:lang w:val="zh-TW"/>
        </w:rPr>
        <w:t>（1）</w:t>
      </w:r>
      <w:r>
        <w:rPr>
          <w:rFonts w:hint="eastAsia" w:ascii="仿宋" w:hAnsi="仿宋" w:eastAsia="仿宋" w:cs="仿宋"/>
          <w:bCs/>
          <w:sz w:val="32"/>
          <w:lang w:val="zh-TW" w:eastAsia="zh-CN"/>
        </w:rPr>
        <w:t>根据实际与财政部门沟通探讨进一步完善养老机构责任保险制度，加快我市养老机构责任保险制度的推进落实，有效化解养老机构意外责任的风险，为养老机构健康可持续发展提供有力保障。</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bCs/>
          <w:sz w:val="32"/>
          <w:lang w:val="zh-TW"/>
        </w:rPr>
        <w:t>（2）</w:t>
      </w:r>
      <w:r>
        <w:rPr>
          <w:rFonts w:hint="eastAsia" w:ascii="仿宋" w:hAnsi="仿宋" w:eastAsia="仿宋" w:cs="仿宋"/>
          <w:bCs/>
          <w:sz w:val="32"/>
          <w:lang w:val="zh-TW" w:eastAsia="zh-CN"/>
        </w:rPr>
        <w:t>加大政策宣传和监督管理，监督养老机构责任保险投保的落实情况，大力推进相关保险知识的普及和培训，提高养老机构的保险意识和抗风险能力，力争实现辖区养老机构责任保险全覆盖。</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A4D98"/>
    <w:multiLevelType w:val="singleLevel"/>
    <w:tmpl w:val="5B6A4D98"/>
    <w:lvl w:ilvl="0" w:tentative="0">
      <w:start w:val="1"/>
      <w:numFmt w:val="chineseCounting"/>
      <w:suff w:val="nothing"/>
      <w:lvlText w:val="%1、"/>
      <w:lvlJc w:val="left"/>
    </w:lvl>
  </w:abstractNum>
  <w:abstractNum w:abstractNumId="1">
    <w:nsid w:val="5B6A5D14"/>
    <w:multiLevelType w:val="singleLevel"/>
    <w:tmpl w:val="5B6A5D14"/>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696184"/>
    <w:rsid w:val="4369618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 A"/>
    <w:qFormat/>
    <w:uiPriority w:val="0"/>
    <w:pPr>
      <w:framePr w:wrap="around" w:vAnchor="margin" w:hAnchor="text" w:yAlign="top"/>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2018-09-11T02:34:00Z</dcterms:created>
  <dc:creator>Administrator</dc:creator>
  <cp:lastModifiedBy>Administrator</cp:lastModifiedBy>
  <dcterms:modified xsi:type="dcterms:W3CDTF">2018-09-11T02:34:32Z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