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rPr>
      </w:pPr>
      <w:r>
        <w:rPr>
          <w:rFonts w:hint="eastAsia" w:ascii="方正小标宋简体" w:hAnsi="方正小标宋简体" w:eastAsia="方正小标宋简体" w:cs="方正小标宋简体"/>
          <w:sz w:val="44"/>
        </w:rPr>
        <w:t>201</w:t>
      </w:r>
      <w:r>
        <w:rPr>
          <w:rFonts w:hint="eastAsia" w:ascii="方正小标宋简体" w:hAnsi="方正小标宋简体" w:eastAsia="方正小标宋简体" w:cs="方正小标宋简体"/>
          <w:sz w:val="44"/>
          <w:lang w:val="en-US" w:eastAsia="zh-CN"/>
        </w:rPr>
        <w:t>7</w:t>
      </w:r>
      <w:r>
        <w:rPr>
          <w:rFonts w:hint="eastAsia" w:ascii="方正小标宋简体" w:hAnsi="方正小标宋简体" w:eastAsia="方正小标宋简体" w:cs="方正小标宋简体"/>
          <w:sz w:val="44"/>
        </w:rPr>
        <w:t>年福州市</w:t>
      </w:r>
      <w:r>
        <w:rPr>
          <w:rFonts w:hint="eastAsia" w:ascii="方正小标宋简体" w:hAnsi="方正小标宋简体" w:eastAsia="方正小标宋简体" w:cs="方正小标宋简体"/>
          <w:sz w:val="44"/>
          <w:lang w:eastAsia="zh-CN"/>
        </w:rPr>
        <w:t>市级扶持老区建设专项资金</w:t>
      </w:r>
      <w:r>
        <w:rPr>
          <w:rFonts w:hint="eastAsia" w:ascii="方正小标宋简体" w:hAnsi="方正小标宋简体" w:eastAsia="方正小标宋简体" w:cs="方正小标宋简体"/>
          <w:sz w:val="44"/>
        </w:rPr>
        <w:t>项目绩效</w:t>
      </w:r>
      <w:bookmarkStart w:id="0" w:name="_GoBack"/>
      <w:bookmarkEnd w:id="0"/>
      <w:r>
        <w:rPr>
          <w:rFonts w:hint="eastAsia" w:ascii="方正小标宋简体" w:hAnsi="方正小标宋简体" w:eastAsia="方正小标宋简体" w:cs="方正小标宋简体"/>
          <w:sz w:val="44"/>
        </w:rPr>
        <w:t>自评报告</w:t>
      </w:r>
    </w:p>
    <w:p>
      <w:pPr>
        <w:tabs>
          <w:tab w:val="left" w:pos="5985"/>
        </w:tabs>
        <w:ind w:firstLine="640" w:firstLineChars="200"/>
        <w:rPr>
          <w:rFonts w:hint="eastAsia" w:ascii="黑体" w:eastAsia="黑体"/>
          <w:sz w:val="32"/>
        </w:rPr>
      </w:pPr>
    </w:p>
    <w:p>
      <w:pPr>
        <w:keepNext w:val="0"/>
        <w:keepLines w:val="0"/>
        <w:pageBreakBefore w:val="0"/>
        <w:widowControl w:val="0"/>
        <w:kinsoku/>
        <w:wordWrap/>
        <w:overflowPunct/>
        <w:topLinePunct w:val="0"/>
        <w:autoSpaceDE/>
        <w:autoSpaceDN/>
        <w:bidi w:val="0"/>
        <w:adjustRightInd/>
        <w:snapToGrid w:val="0"/>
        <w:spacing w:line="360" w:lineRule="auto"/>
        <w:ind w:right="0" w:rightChars="0"/>
        <w:jc w:val="both"/>
        <w:outlineLvl w:val="9"/>
        <w:rPr>
          <w:rFonts w:hint="eastAsia" w:ascii="黑体" w:hAnsi="宋体" w:eastAsia="黑体"/>
          <w:sz w:val="32"/>
        </w:rPr>
      </w:pPr>
      <w:r>
        <w:rPr>
          <w:rFonts w:hint="eastAsia" w:ascii="黑体" w:hAnsi="宋体" w:eastAsia="黑体"/>
          <w:sz w:val="32"/>
          <w:lang w:val="en-US" w:eastAsia="zh-CN"/>
        </w:rPr>
        <w:t xml:space="preserve">    </w:t>
      </w:r>
      <w:r>
        <w:rPr>
          <w:rFonts w:hint="eastAsia" w:ascii="黑体" w:hAnsi="宋体" w:eastAsia="黑体"/>
          <w:sz w:val="32"/>
        </w:rPr>
        <w:t>一、项目</w:t>
      </w:r>
      <w:r>
        <w:rPr>
          <w:rFonts w:hint="eastAsia" w:ascii="黑体" w:hAnsi="宋体" w:eastAsia="黑体"/>
          <w:sz w:val="32"/>
          <w:lang w:eastAsia="zh-CN"/>
        </w:rPr>
        <w:t>总体</w:t>
      </w:r>
      <w:r>
        <w:rPr>
          <w:rFonts w:hint="eastAsia" w:ascii="黑体" w:hAnsi="宋体" w:eastAsia="黑体"/>
          <w:sz w:val="32"/>
        </w:rPr>
        <w:t>情况</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jc w:val="both"/>
        <w:textAlignment w:val="auto"/>
        <w:outlineLvl w:val="9"/>
        <w:rPr>
          <w:rFonts w:hint="eastAsia" w:ascii="仿宋_GB2312" w:eastAsia="仿宋_GB2312"/>
          <w:b/>
          <w:bCs w:val="0"/>
          <w:sz w:val="32"/>
        </w:rPr>
      </w:pPr>
      <w:r>
        <w:rPr>
          <w:rFonts w:hint="eastAsia" w:ascii="仿宋_GB2312" w:eastAsia="仿宋_GB2312"/>
          <w:b/>
          <w:sz w:val="32"/>
        </w:rPr>
        <w:t xml:space="preserve">  </w:t>
      </w:r>
      <w:r>
        <w:rPr>
          <w:rFonts w:hint="eastAsia" w:ascii="仿宋_GB2312" w:eastAsia="仿宋_GB2312"/>
          <w:b w:val="0"/>
          <w:bCs/>
          <w:sz w:val="32"/>
        </w:rPr>
        <w:t xml:space="preserve">  </w:t>
      </w:r>
      <w:r>
        <w:rPr>
          <w:rFonts w:hint="eastAsia" w:ascii="仿宋" w:hAnsi="仿宋" w:eastAsia="仿宋" w:cs="仿宋"/>
          <w:b w:val="0"/>
          <w:bCs/>
          <w:sz w:val="32"/>
          <w:lang w:val="en-US" w:eastAsia="zh-CN"/>
        </w:rPr>
        <w:t>2017年度,市财政预算下达市级扶持老区建设专项资金800万元。</w:t>
      </w:r>
      <w:r>
        <w:rPr>
          <w:rFonts w:hint="eastAsia" w:ascii="仿宋" w:hAnsi="仿宋" w:eastAsia="仿宋" w:cs="仿宋"/>
          <w:b w:val="0"/>
          <w:bCs/>
          <w:sz w:val="32"/>
          <w:lang w:eastAsia="zh-CN"/>
        </w:rPr>
        <w:t>根据《福州市革命老区扶贫建设资金管理办法》，分两批下达，</w:t>
      </w:r>
      <w:r>
        <w:rPr>
          <w:rFonts w:hint="eastAsia" w:ascii="仿宋" w:hAnsi="仿宋" w:eastAsia="仿宋" w:cs="仿宋"/>
          <w:sz w:val="32"/>
          <w:lang w:val="en-US" w:eastAsia="zh-CN"/>
        </w:rPr>
        <w:t>第一批500万元资金以按因素分配方式下达相关县（市）区，由县（市）区自主安排；第二批300万元按项目补助资金，由</w:t>
      </w:r>
      <w:r>
        <w:rPr>
          <w:rFonts w:hint="eastAsia" w:ascii="仿宋" w:hAnsi="仿宋" w:eastAsia="仿宋" w:cs="仿宋"/>
          <w:sz w:val="32"/>
          <w:lang w:eastAsia="zh-CN"/>
        </w:rPr>
        <w:t>相关</w:t>
      </w:r>
      <w:r>
        <w:rPr>
          <w:rFonts w:hint="eastAsia" w:ascii="仿宋" w:hAnsi="仿宋" w:eastAsia="仿宋" w:cs="仿宋"/>
          <w:sz w:val="32"/>
        </w:rPr>
        <w:t>县（市）</w:t>
      </w:r>
      <w:r>
        <w:rPr>
          <w:rFonts w:hint="eastAsia" w:ascii="仿宋" w:hAnsi="仿宋" w:eastAsia="仿宋" w:cs="仿宋"/>
          <w:sz w:val="32"/>
          <w:lang w:eastAsia="zh-CN"/>
        </w:rPr>
        <w:t>筛选上报资金项目，经市财政局、市民政局审核后下达。</w:t>
      </w:r>
    </w:p>
    <w:p>
      <w:pPr>
        <w:keepNext w:val="0"/>
        <w:keepLines w:val="0"/>
        <w:pageBreakBefore w:val="0"/>
        <w:widowControl w:val="0"/>
        <w:kinsoku/>
        <w:wordWrap/>
        <w:overflowPunct/>
        <w:topLinePunct w:val="0"/>
        <w:autoSpaceDE/>
        <w:autoSpaceDN/>
        <w:bidi w:val="0"/>
        <w:adjustRightInd/>
        <w:snapToGrid w:val="0"/>
        <w:spacing w:line="360" w:lineRule="auto"/>
        <w:ind w:right="0" w:rightChars="0" w:firstLine="640" w:firstLineChars="200"/>
        <w:jc w:val="both"/>
        <w:textAlignment w:val="auto"/>
        <w:outlineLvl w:val="9"/>
        <w:rPr>
          <w:rFonts w:hint="eastAsia" w:ascii="仿宋_GB2312" w:eastAsia="仿宋_GB2312"/>
          <w:b w:val="0"/>
          <w:bCs/>
          <w:sz w:val="32"/>
        </w:rPr>
      </w:pPr>
      <w:r>
        <w:rPr>
          <w:rFonts w:hint="eastAsia" w:ascii="仿宋_GB2312" w:eastAsia="仿宋_GB2312"/>
          <w:b w:val="0"/>
          <w:bCs/>
          <w:sz w:val="32"/>
        </w:rPr>
        <w:t>项目的实施依据、基本性质、用途和主要内容、涉及范围、预期投入情况及实施后达成的主要效益</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right="0" w:rightChars="0" w:firstLine="640" w:firstLineChars="200"/>
        <w:jc w:val="both"/>
        <w:outlineLvl w:val="9"/>
        <w:rPr>
          <w:rFonts w:hint="eastAsia" w:ascii="楷体" w:hAnsi="楷体" w:eastAsia="楷体" w:cs="楷体"/>
          <w:b w:val="0"/>
          <w:bCs/>
          <w:sz w:val="32"/>
        </w:rPr>
      </w:pPr>
      <w:r>
        <w:rPr>
          <w:rFonts w:hint="eastAsia" w:ascii="楷体" w:hAnsi="楷体" w:eastAsia="楷体" w:cs="楷体"/>
          <w:b w:val="0"/>
          <w:bCs/>
          <w:sz w:val="32"/>
        </w:rPr>
        <w:t>（一）项目的实施依据：</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right="0" w:rightChars="0" w:firstLine="640" w:firstLineChars="200"/>
        <w:jc w:val="both"/>
        <w:outlineLvl w:val="9"/>
        <w:rPr>
          <w:rFonts w:hint="eastAsia" w:ascii="仿宋" w:hAnsi="仿宋" w:eastAsia="仿宋" w:cs="仿宋"/>
          <w:sz w:val="32"/>
          <w:lang w:eastAsia="zh-CN"/>
        </w:rPr>
      </w:pPr>
      <w:r>
        <w:rPr>
          <w:rFonts w:hint="eastAsia" w:ascii="仿宋" w:hAnsi="仿宋" w:eastAsia="仿宋" w:cs="仿宋"/>
          <w:sz w:val="32"/>
          <w:lang w:eastAsia="zh-CN"/>
        </w:rPr>
        <w:t>根据《福州市革命老区扶贫建设资金管理办法》第八条“革命老区扶建专项资金采取按因素分配和按项目补助相结合的方式分配，其中按因素分配的资金不低于60%”、第九条“按因素分配的资金，由市民政局（老区办）会同市财政局根据各县（市）区老区乡、村和欠发达村数量及比例、贫困程度等因素，核定有关县（市）区资金分配额度”的规定，2017年市级第一批老区扶建专项资金500万元（占比63%），根据相关县（市）区老区乡（镇）、村和欠发达村数量、贫困程度核定下拨。</w:t>
      </w:r>
      <w:r>
        <w:rPr>
          <w:rFonts w:hint="eastAsia" w:ascii="仿宋" w:hAnsi="仿宋" w:eastAsia="仿宋" w:cs="仿宋"/>
          <w:sz w:val="32"/>
          <w:lang w:val="en-US" w:eastAsia="zh-CN"/>
        </w:rPr>
        <w:t>根据福州市《关于加大脱贫攻坚力度支持革命老区开发建设的实施意见》、</w:t>
      </w:r>
      <w:r>
        <w:rPr>
          <w:rFonts w:hint="eastAsia" w:ascii="仿宋" w:hAnsi="仿宋" w:eastAsia="仿宋" w:cs="仿宋"/>
          <w:b w:val="0"/>
          <w:bCs/>
          <w:kern w:val="0"/>
          <w:sz w:val="32"/>
          <w:lang w:val="en-US" w:eastAsia="zh-CN"/>
        </w:rPr>
        <w:t>市委《研究扶持革命老区和少数民族地区贫困村发展专题会议纪要》和</w:t>
      </w:r>
      <w:r>
        <w:rPr>
          <w:rFonts w:hint="eastAsia" w:ascii="仿宋" w:hAnsi="仿宋" w:eastAsia="仿宋" w:cs="仿宋"/>
          <w:sz w:val="32"/>
          <w:lang w:val="en-US" w:eastAsia="zh-CN"/>
        </w:rPr>
        <w:t>市委、市政府主要领导</w:t>
      </w:r>
      <w:r>
        <w:rPr>
          <w:rFonts w:hint="eastAsia" w:ascii="仿宋" w:hAnsi="仿宋" w:eastAsia="仿宋" w:cs="仿宋"/>
          <w:sz w:val="32"/>
          <w:lang w:eastAsia="zh-CN"/>
        </w:rPr>
        <w:t>关于加快革命老区贫困村发展的批示、指示精神</w:t>
      </w:r>
      <w:r>
        <w:rPr>
          <w:rFonts w:hint="eastAsia" w:ascii="仿宋" w:hAnsi="仿宋" w:eastAsia="仿宋" w:cs="仿宋"/>
          <w:sz w:val="32"/>
          <w:lang w:val="en-US" w:eastAsia="zh-CN"/>
        </w:rPr>
        <w:t>，</w:t>
      </w:r>
      <w:r>
        <w:rPr>
          <w:rFonts w:hint="eastAsia" w:ascii="仿宋" w:hAnsi="仿宋" w:eastAsia="仿宋" w:cs="仿宋"/>
          <w:sz w:val="32"/>
          <w:lang w:eastAsia="zh-CN"/>
        </w:rPr>
        <w:t>第二批老区扶建专项资金</w:t>
      </w:r>
      <w:r>
        <w:rPr>
          <w:rFonts w:hint="eastAsia" w:ascii="仿宋" w:hAnsi="仿宋" w:eastAsia="仿宋" w:cs="仿宋"/>
          <w:sz w:val="32"/>
          <w:lang w:val="en-US" w:eastAsia="zh-CN"/>
        </w:rPr>
        <w:t>300万元，</w:t>
      </w:r>
      <w:r>
        <w:rPr>
          <w:rFonts w:hint="eastAsia" w:ascii="仿宋" w:hAnsi="仿宋" w:eastAsia="仿宋" w:cs="仿宋"/>
          <w:sz w:val="32"/>
          <w:lang w:eastAsia="zh-CN"/>
        </w:rPr>
        <w:t>优先安排省、市级扶贫开发老区重点村、老区贫困村帮扶项目和老区村群众急需解决的民生项目。</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right="0" w:rightChars="0" w:firstLine="640" w:firstLineChars="200"/>
        <w:jc w:val="both"/>
        <w:outlineLvl w:val="9"/>
        <w:rPr>
          <w:rFonts w:hint="eastAsia" w:ascii="楷体" w:hAnsi="楷体" w:eastAsia="楷体" w:cs="楷体"/>
          <w:b w:val="0"/>
          <w:bCs/>
          <w:sz w:val="32"/>
        </w:rPr>
      </w:pPr>
      <w:r>
        <w:rPr>
          <w:rFonts w:hint="eastAsia" w:ascii="楷体" w:hAnsi="楷体" w:eastAsia="楷体" w:cs="楷体"/>
          <w:b w:val="0"/>
          <w:bCs/>
          <w:sz w:val="32"/>
        </w:rPr>
        <w:t>（</w:t>
      </w:r>
      <w:r>
        <w:rPr>
          <w:rFonts w:hint="eastAsia" w:ascii="楷体" w:hAnsi="楷体" w:eastAsia="楷体" w:cs="楷体"/>
          <w:b w:val="0"/>
          <w:bCs/>
          <w:sz w:val="32"/>
          <w:lang w:eastAsia="zh-CN"/>
        </w:rPr>
        <w:t>二</w:t>
      </w:r>
      <w:r>
        <w:rPr>
          <w:rFonts w:hint="eastAsia" w:ascii="楷体" w:hAnsi="楷体" w:eastAsia="楷体" w:cs="楷体"/>
          <w:b w:val="0"/>
          <w:bCs/>
          <w:sz w:val="32"/>
        </w:rPr>
        <w:t>）项目基本性质、用途和主要内容、涉及范围：</w:t>
      </w:r>
    </w:p>
    <w:p>
      <w:pPr>
        <w:pStyle w:val="2"/>
        <w:keepNext w:val="0"/>
        <w:keepLines w:val="0"/>
        <w:pageBreakBefore w:val="0"/>
        <w:widowControl w:val="0"/>
        <w:numPr>
          <w:ilvl w:val="0"/>
          <w:numId w:val="0"/>
        </w:numPr>
        <w:kinsoku/>
        <w:wordWrap/>
        <w:overflowPunct/>
        <w:topLinePunct w:val="0"/>
        <w:autoSpaceDE/>
        <w:autoSpaceDN/>
        <w:bidi w:val="0"/>
        <w:adjustRightInd w:val="0"/>
        <w:snapToGrid w:val="0"/>
        <w:spacing w:before="0" w:beforeLines="0" w:beforeAutospacing="0" w:after="0" w:afterLines="0" w:afterAutospacing="0" w:line="360" w:lineRule="auto"/>
        <w:ind w:right="0" w:rightChars="0" w:firstLine="640" w:firstLineChars="200"/>
        <w:jc w:val="both"/>
        <w:textAlignment w:val="baseline"/>
        <w:outlineLvl w:val="9"/>
        <w:rPr>
          <w:rFonts w:hint="eastAsia" w:ascii="仿宋_GB2312" w:hAnsi="仿宋_GB2312"/>
          <w:sz w:val="32"/>
          <w:lang w:eastAsia="zh-CN"/>
        </w:rPr>
      </w:pPr>
      <w:r>
        <w:rPr>
          <w:rFonts w:hint="eastAsia" w:ascii="仿宋_GB2312" w:hAnsi="仿宋_GB2312"/>
          <w:sz w:val="32"/>
          <w:lang w:val="en-US" w:eastAsia="zh-CN"/>
        </w:rPr>
        <w:t>市级扶持老区建设专项资金，用于补助老区村基础设施等建设，属于补助性质的资金。2017年，市级老区扶建专项资金补助85个老区村基础设施等项目。其中，根据福州市</w:t>
      </w:r>
      <w:r>
        <w:rPr>
          <w:rFonts w:hint="eastAsia" w:ascii="仿宋_GB2312" w:hAnsi="仿宋_GB2312" w:eastAsia="仿宋_GB2312"/>
          <w:sz w:val="32"/>
          <w:lang w:val="en-US" w:eastAsia="zh-CN"/>
        </w:rPr>
        <w:t>《关于加大脱贫攻坚力度支持革命老区开发建设的实施意见》</w:t>
      </w:r>
      <w:r>
        <w:rPr>
          <w:rFonts w:hint="eastAsia" w:ascii="仿宋_GB2312" w:hAnsi="仿宋_GB2312"/>
          <w:sz w:val="32"/>
          <w:lang w:val="en-US" w:eastAsia="zh-CN"/>
        </w:rPr>
        <w:t>、</w:t>
      </w:r>
      <w:r>
        <w:rPr>
          <w:rFonts w:hint="eastAsia" w:ascii="仿宋_GB2312" w:hAnsi="仿宋_GB2312" w:eastAsia="仿宋_GB2312" w:cs="仿宋_GB2312"/>
          <w:b w:val="0"/>
          <w:bCs/>
          <w:kern w:val="0"/>
          <w:sz w:val="32"/>
          <w:lang w:val="en-US" w:eastAsia="zh-CN"/>
        </w:rPr>
        <w:t>市委《研究扶持革命老区和少数民族地区贫困村发展专题会议纪要》</w:t>
      </w:r>
      <w:r>
        <w:rPr>
          <w:rFonts w:hint="eastAsia" w:ascii="仿宋_GB2312" w:hAnsi="仿宋_GB2312" w:cs="仿宋_GB2312"/>
          <w:b w:val="0"/>
          <w:bCs/>
          <w:kern w:val="0"/>
          <w:sz w:val="32"/>
          <w:lang w:val="en-US" w:eastAsia="zh-CN"/>
        </w:rPr>
        <w:t>和</w:t>
      </w:r>
      <w:r>
        <w:rPr>
          <w:rFonts w:hint="eastAsia" w:ascii="仿宋_GB2312" w:hAnsi="仿宋_GB2312"/>
          <w:sz w:val="32"/>
          <w:lang w:val="en-US" w:eastAsia="zh-CN"/>
        </w:rPr>
        <w:t>市委、市政府主要领导</w:t>
      </w:r>
      <w:r>
        <w:rPr>
          <w:rFonts w:hint="eastAsia" w:ascii="仿宋_GB2312" w:hAnsi="仿宋_GB2312"/>
          <w:sz w:val="32"/>
          <w:lang w:eastAsia="zh-CN"/>
        </w:rPr>
        <w:t>关于加快革命老区贫困村发展的批示、指示精神</w:t>
      </w:r>
      <w:r>
        <w:rPr>
          <w:rFonts w:hint="eastAsia" w:ascii="仿宋_GB2312" w:hAnsi="仿宋_GB2312"/>
          <w:sz w:val="32"/>
          <w:lang w:val="en-US" w:eastAsia="zh-CN"/>
        </w:rPr>
        <w:t>，2017年上半年，各相关县（市）区</w:t>
      </w:r>
      <w:r>
        <w:rPr>
          <w:rFonts w:hint="eastAsia" w:ascii="仿宋_GB2312" w:hAnsi="仿宋_GB2312" w:eastAsia="仿宋_GB2312"/>
          <w:sz w:val="32"/>
          <w:lang w:val="en-US" w:eastAsia="zh-CN"/>
        </w:rPr>
        <w:t>从市级第一批老区扶建专项资金</w:t>
      </w:r>
      <w:r>
        <w:rPr>
          <w:rFonts w:hint="eastAsia" w:ascii="仿宋_GB2312" w:hAnsi="仿宋_GB2312"/>
          <w:sz w:val="32"/>
          <w:lang w:val="en-US" w:eastAsia="zh-CN"/>
        </w:rPr>
        <w:t>中，补助全市22个省、市级扶贫开发老区重点村中的13个村，13个帮扶项目，</w:t>
      </w:r>
      <w:r>
        <w:rPr>
          <w:rFonts w:hint="eastAsia" w:ascii="仿宋_GB2312" w:hAnsi="仿宋_GB2312" w:eastAsia="仿宋_GB2312"/>
          <w:sz w:val="32"/>
          <w:lang w:val="en-US" w:eastAsia="zh-CN"/>
        </w:rPr>
        <w:t>1</w:t>
      </w:r>
      <w:r>
        <w:rPr>
          <w:rFonts w:hint="eastAsia" w:ascii="仿宋_GB2312" w:hAnsi="仿宋_GB2312"/>
          <w:sz w:val="32"/>
          <w:lang w:val="en-US" w:eastAsia="zh-CN"/>
        </w:rPr>
        <w:t>4</w:t>
      </w:r>
      <w:r>
        <w:rPr>
          <w:rFonts w:hint="eastAsia" w:ascii="仿宋_GB2312" w:hAnsi="仿宋_GB2312" w:eastAsia="仿宋_GB2312"/>
          <w:sz w:val="32"/>
          <w:lang w:val="en-US" w:eastAsia="zh-CN"/>
        </w:rPr>
        <w:t>0万元</w:t>
      </w:r>
      <w:r>
        <w:rPr>
          <w:rFonts w:hint="eastAsia" w:ascii="仿宋_GB2312" w:hAnsi="仿宋_GB2312"/>
          <w:sz w:val="32"/>
          <w:lang w:val="en-US" w:eastAsia="zh-CN"/>
        </w:rPr>
        <w:t>。市级第二批老区扶建专项资金中补助9个</w:t>
      </w:r>
      <w:r>
        <w:rPr>
          <w:rFonts w:hint="eastAsia" w:ascii="仿宋_GB2312" w:hAnsi="仿宋_GB2312" w:eastAsia="仿宋_GB2312"/>
          <w:sz w:val="32"/>
          <w:lang w:val="en-US" w:eastAsia="zh-CN"/>
        </w:rPr>
        <w:t>重点村</w:t>
      </w:r>
      <w:r>
        <w:rPr>
          <w:rFonts w:hint="eastAsia" w:ascii="仿宋_GB2312" w:hAnsi="仿宋_GB2312"/>
          <w:sz w:val="32"/>
          <w:lang w:val="en-US" w:eastAsia="zh-CN"/>
        </w:rPr>
        <w:t>，9个</w:t>
      </w:r>
      <w:r>
        <w:rPr>
          <w:rFonts w:hint="eastAsia" w:ascii="仿宋_GB2312" w:hAnsi="仿宋_GB2312" w:eastAsia="仿宋_GB2312"/>
          <w:sz w:val="32"/>
          <w:lang w:val="en-US" w:eastAsia="zh-CN"/>
        </w:rPr>
        <w:t>帮扶</w:t>
      </w:r>
      <w:r>
        <w:rPr>
          <w:rFonts w:hint="eastAsia" w:ascii="仿宋_GB2312" w:hAnsi="仿宋_GB2312"/>
          <w:sz w:val="32"/>
          <w:lang w:val="en-US" w:eastAsia="zh-CN"/>
        </w:rPr>
        <w:t>项目，90万元</w:t>
      </w:r>
      <w:r>
        <w:rPr>
          <w:rFonts w:hint="eastAsia" w:ascii="仿宋_GB2312" w:hAnsi="仿宋_GB2312" w:eastAsia="仿宋_GB2312"/>
          <w:sz w:val="32"/>
          <w:lang w:val="en-US" w:eastAsia="zh-CN"/>
        </w:rPr>
        <w:t>。</w:t>
      </w:r>
      <w:r>
        <w:rPr>
          <w:rFonts w:hint="eastAsia" w:ascii="仿宋_GB2312" w:hAnsi="仿宋_GB2312"/>
          <w:sz w:val="32"/>
          <w:lang w:val="en-US" w:eastAsia="zh-CN"/>
        </w:rPr>
        <w:t>同时，落实</w:t>
      </w:r>
      <w:r>
        <w:rPr>
          <w:rFonts w:hint="eastAsia" w:ascii="仿宋_GB2312" w:hAnsi="仿宋_GB2312" w:cs="仿宋_GB2312"/>
          <w:sz w:val="32"/>
          <w:szCs w:val="32"/>
          <w:lang w:val="en-US" w:eastAsia="zh-CN"/>
        </w:rPr>
        <w:t>安排罗源、闽清、连江等县11个老区贫困村，11个</w:t>
      </w:r>
      <w:r>
        <w:rPr>
          <w:rFonts w:hint="eastAsia" w:ascii="仿宋_GB2312" w:hAnsi="仿宋_GB2312" w:eastAsia="仿宋_GB2312" w:cs="仿宋_GB2312"/>
          <w:sz w:val="32"/>
          <w:szCs w:val="32"/>
          <w:lang w:val="en-US" w:eastAsia="zh-CN"/>
        </w:rPr>
        <w:t>帮扶项目</w:t>
      </w:r>
      <w:r>
        <w:rPr>
          <w:rFonts w:hint="eastAsia" w:ascii="仿宋_GB2312" w:hAnsi="仿宋_GB2312" w:cs="仿宋_GB2312"/>
          <w:sz w:val="32"/>
          <w:szCs w:val="32"/>
          <w:lang w:val="en-US" w:eastAsia="zh-CN"/>
        </w:rPr>
        <w:t>，</w:t>
      </w:r>
      <w:r>
        <w:rPr>
          <w:rFonts w:hint="eastAsia" w:ascii="仿宋_GB2312" w:hAnsi="仿宋_GB2312"/>
          <w:sz w:val="32"/>
          <w:lang w:val="en-US" w:eastAsia="zh-CN"/>
        </w:rPr>
        <w:t>105万元，以及11个老区村群众急需解决的民生项目，补助资金105万元。</w:t>
      </w:r>
    </w:p>
    <w:p>
      <w:pPr>
        <w:keepNext w:val="0"/>
        <w:keepLines w:val="0"/>
        <w:pageBreakBefore w:val="0"/>
        <w:widowControl w:val="0"/>
        <w:kinsoku/>
        <w:wordWrap/>
        <w:overflowPunct/>
        <w:topLinePunct w:val="0"/>
        <w:autoSpaceDE/>
        <w:autoSpaceDN/>
        <w:bidi w:val="0"/>
        <w:adjustRightInd/>
        <w:snapToGrid w:val="0"/>
        <w:spacing w:line="360" w:lineRule="auto"/>
        <w:ind w:right="0" w:rightChars="0" w:firstLine="640" w:firstLineChars="200"/>
        <w:jc w:val="both"/>
        <w:outlineLvl w:val="9"/>
        <w:rPr>
          <w:rFonts w:hint="eastAsia" w:ascii="楷体" w:hAnsi="楷体" w:eastAsia="楷体" w:cs="楷体"/>
          <w:b w:val="0"/>
          <w:bCs/>
          <w:sz w:val="32"/>
        </w:rPr>
      </w:pPr>
      <w:r>
        <w:rPr>
          <w:rFonts w:hint="eastAsia" w:ascii="楷体" w:hAnsi="楷体" w:eastAsia="楷体" w:cs="楷体"/>
          <w:b w:val="0"/>
          <w:bCs/>
          <w:sz w:val="32"/>
        </w:rPr>
        <w:t>（</w:t>
      </w:r>
      <w:r>
        <w:rPr>
          <w:rFonts w:hint="eastAsia" w:ascii="楷体" w:hAnsi="楷体" w:eastAsia="楷体" w:cs="楷体"/>
          <w:b w:val="0"/>
          <w:bCs/>
          <w:sz w:val="32"/>
          <w:lang w:eastAsia="zh-CN"/>
        </w:rPr>
        <w:t>三</w:t>
      </w:r>
      <w:r>
        <w:rPr>
          <w:rFonts w:hint="eastAsia" w:ascii="楷体" w:hAnsi="楷体" w:eastAsia="楷体" w:cs="楷体"/>
          <w:b w:val="0"/>
          <w:bCs/>
          <w:sz w:val="32"/>
        </w:rPr>
        <w:t>）预期投入情况及实施后达成的主要效益：</w:t>
      </w:r>
    </w:p>
    <w:p>
      <w:pPr>
        <w:keepNext w:val="0"/>
        <w:keepLines w:val="0"/>
        <w:pageBreakBefore w:val="0"/>
        <w:widowControl w:val="0"/>
        <w:kinsoku/>
        <w:wordWrap/>
        <w:overflowPunct/>
        <w:topLinePunct w:val="0"/>
        <w:autoSpaceDE/>
        <w:autoSpaceDN/>
        <w:bidi w:val="0"/>
        <w:snapToGrid w:val="0"/>
        <w:spacing w:line="360" w:lineRule="auto"/>
        <w:ind w:right="0" w:rightChars="0" w:firstLine="640" w:firstLineChars="200"/>
        <w:jc w:val="both"/>
        <w:rPr>
          <w:rFonts w:hint="eastAsia" w:ascii="仿宋_GB2312" w:eastAsia="仿宋_GB2312"/>
          <w:sz w:val="32"/>
        </w:rPr>
      </w:pPr>
      <w:r>
        <w:rPr>
          <w:rFonts w:hint="eastAsia" w:ascii="仿宋_GB2312" w:eastAsia="仿宋_GB2312"/>
          <w:b w:val="0"/>
          <w:bCs/>
          <w:sz w:val="32"/>
        </w:rPr>
        <w:t>201</w:t>
      </w:r>
      <w:r>
        <w:rPr>
          <w:rFonts w:hint="eastAsia" w:ascii="仿宋_GB2312" w:eastAsia="仿宋_GB2312"/>
          <w:b w:val="0"/>
          <w:bCs/>
          <w:sz w:val="32"/>
          <w:lang w:val="en-US" w:eastAsia="zh-CN"/>
        </w:rPr>
        <w:t>7</w:t>
      </w:r>
      <w:r>
        <w:rPr>
          <w:rFonts w:hint="eastAsia" w:ascii="仿宋_GB2312" w:eastAsia="仿宋_GB2312"/>
          <w:sz w:val="32"/>
        </w:rPr>
        <w:t>年，市级财政</w:t>
      </w:r>
      <w:r>
        <w:rPr>
          <w:rFonts w:hint="eastAsia" w:ascii="仿宋_GB2312" w:eastAsia="仿宋_GB2312"/>
          <w:sz w:val="32"/>
          <w:lang w:eastAsia="zh-CN"/>
        </w:rPr>
        <w:t>预算安排市级老区扶建专项资金</w:t>
      </w:r>
      <w:r>
        <w:rPr>
          <w:rFonts w:hint="eastAsia" w:ascii="仿宋_GB2312" w:eastAsia="仿宋_GB2312"/>
          <w:sz w:val="32"/>
          <w:lang w:val="en-US" w:eastAsia="zh-CN"/>
        </w:rPr>
        <w:t>800</w:t>
      </w:r>
      <w:r>
        <w:rPr>
          <w:rFonts w:hint="eastAsia" w:ascii="仿宋_GB2312" w:eastAsia="仿宋_GB2312"/>
          <w:sz w:val="32"/>
        </w:rPr>
        <w:t>万元</w:t>
      </w:r>
      <w:r>
        <w:rPr>
          <w:rFonts w:hint="eastAsia" w:ascii="仿宋_GB2312" w:eastAsia="仿宋_GB2312"/>
          <w:sz w:val="32"/>
          <w:lang w:eastAsia="zh-CN"/>
        </w:rPr>
        <w:t>。</w:t>
      </w:r>
      <w:r>
        <w:rPr>
          <w:rFonts w:hint="eastAsia" w:ascii="仿宋_GB2312" w:eastAsia="仿宋_GB2312"/>
          <w:sz w:val="32"/>
        </w:rPr>
        <w:t>同时</w:t>
      </w:r>
      <w:r>
        <w:rPr>
          <w:rFonts w:hint="eastAsia" w:ascii="仿宋_GB2312" w:eastAsia="仿宋_GB2312"/>
          <w:color w:val="auto"/>
          <w:sz w:val="32"/>
        </w:rPr>
        <w:t>，设置了</w:t>
      </w:r>
      <w:r>
        <w:rPr>
          <w:rFonts w:hint="eastAsia" w:ascii="仿宋_GB2312" w:eastAsia="仿宋_GB2312"/>
          <w:color w:val="auto"/>
          <w:sz w:val="32"/>
          <w:lang w:eastAsia="zh-CN"/>
        </w:rPr>
        <w:t>成本、数量、质量、社会效益、服务对象满意度等</w:t>
      </w:r>
      <w:r>
        <w:rPr>
          <w:rFonts w:hint="eastAsia" w:ascii="仿宋_GB2312" w:eastAsia="仿宋_GB2312"/>
          <w:color w:val="auto"/>
          <w:sz w:val="32"/>
          <w:lang w:val="en-US" w:eastAsia="zh-CN"/>
        </w:rPr>
        <w:t>5</w:t>
      </w:r>
      <w:r>
        <w:rPr>
          <w:rFonts w:hint="eastAsia" w:ascii="仿宋_GB2312" w:eastAsia="仿宋_GB2312"/>
          <w:color w:val="auto"/>
          <w:sz w:val="32"/>
        </w:rPr>
        <w:t>个</w:t>
      </w:r>
      <w:r>
        <w:rPr>
          <w:rFonts w:hint="eastAsia" w:ascii="仿宋_GB2312" w:eastAsia="仿宋_GB2312"/>
          <w:color w:val="auto"/>
          <w:sz w:val="32"/>
          <w:lang w:eastAsia="zh-CN"/>
        </w:rPr>
        <w:t>绩效指标</w:t>
      </w:r>
      <w:r>
        <w:rPr>
          <w:rFonts w:hint="eastAsia" w:ascii="仿宋_GB2312" w:eastAsia="仿宋_GB2312"/>
          <w:color w:val="auto"/>
          <w:sz w:val="32"/>
        </w:rPr>
        <w:t>。</w:t>
      </w:r>
      <w:r>
        <w:rPr>
          <w:rFonts w:hint="eastAsia" w:ascii="仿宋_GB2312" w:eastAsia="仿宋_GB2312"/>
          <w:color w:val="auto"/>
          <w:sz w:val="32"/>
          <w:lang w:eastAsia="zh-CN"/>
        </w:rPr>
        <w:t>从</w:t>
      </w:r>
      <w:r>
        <w:rPr>
          <w:rFonts w:hint="eastAsia" w:ascii="仿宋_GB2312" w:eastAsia="仿宋_GB2312"/>
          <w:sz w:val="32"/>
          <w:szCs w:val="32"/>
        </w:rPr>
        <w:t>相关县（市）区</w:t>
      </w:r>
      <w:r>
        <w:rPr>
          <w:rFonts w:hint="eastAsia" w:ascii="仿宋_GB2312" w:eastAsia="仿宋_GB2312"/>
          <w:sz w:val="32"/>
          <w:szCs w:val="32"/>
          <w:lang w:eastAsia="zh-CN"/>
        </w:rPr>
        <w:t>资金使用管理和项目建设情况来看，</w:t>
      </w:r>
      <w:r>
        <w:rPr>
          <w:rFonts w:hint="eastAsia" w:ascii="仿宋_GB2312" w:eastAsia="仿宋_GB2312"/>
          <w:sz w:val="32"/>
          <w:szCs w:val="32"/>
        </w:rPr>
        <w:t>市级老区扶建专项资金</w:t>
      </w:r>
      <w:r>
        <w:rPr>
          <w:rFonts w:hint="eastAsia" w:ascii="仿宋_GB2312" w:eastAsia="仿宋_GB2312"/>
          <w:sz w:val="32"/>
          <w:szCs w:val="32"/>
          <w:lang w:eastAsia="zh-CN"/>
        </w:rPr>
        <w:t>能确保专款专用</w:t>
      </w:r>
      <w:r>
        <w:rPr>
          <w:rFonts w:hint="eastAsia" w:ascii="仿宋_GB2312" w:eastAsia="仿宋_GB2312"/>
          <w:sz w:val="32"/>
          <w:szCs w:val="32"/>
        </w:rPr>
        <w:t>，项目申报和建设程序规范，尚未发现截留、挪用专项资金等问题，</w:t>
      </w:r>
      <w:r>
        <w:rPr>
          <w:rFonts w:hint="eastAsia" w:ascii="仿宋_GB2312" w:eastAsia="仿宋_GB2312"/>
          <w:sz w:val="32"/>
          <w:szCs w:val="32"/>
          <w:lang w:eastAsia="zh-CN"/>
        </w:rPr>
        <w:t>绝</w:t>
      </w:r>
      <w:r>
        <w:rPr>
          <w:rFonts w:hint="eastAsia" w:ascii="仿宋_GB2312" w:eastAsia="仿宋_GB2312"/>
          <w:sz w:val="32"/>
          <w:szCs w:val="32"/>
        </w:rPr>
        <w:t>大多数帮扶项目已完工</w:t>
      </w:r>
      <w:r>
        <w:rPr>
          <w:rFonts w:hint="eastAsia" w:ascii="仿宋_GB2312" w:eastAsia="仿宋_GB2312"/>
          <w:sz w:val="32"/>
          <w:szCs w:val="32"/>
          <w:lang w:eastAsia="zh-CN"/>
        </w:rPr>
        <w:t>，有效改善老区村面貌和老区群众的生产生活条件，取得较好的社会效益。</w:t>
      </w:r>
    </w:p>
    <w:p>
      <w:pPr>
        <w:keepNext w:val="0"/>
        <w:keepLines w:val="0"/>
        <w:pageBreakBefore w:val="0"/>
        <w:widowControl w:val="0"/>
        <w:kinsoku/>
        <w:wordWrap/>
        <w:overflowPunct/>
        <w:topLinePunct w:val="0"/>
        <w:autoSpaceDE/>
        <w:autoSpaceDN/>
        <w:bidi w:val="0"/>
        <w:adjustRightInd/>
        <w:snapToGrid w:val="0"/>
        <w:spacing w:line="360" w:lineRule="auto"/>
        <w:ind w:right="0" w:rightChars="0" w:firstLine="640" w:firstLineChars="200"/>
        <w:jc w:val="both"/>
        <w:outlineLvl w:val="9"/>
        <w:rPr>
          <w:rFonts w:hint="eastAsia" w:ascii="黑体" w:hAnsi="黑体" w:eastAsia="黑体"/>
          <w:b w:val="0"/>
          <w:sz w:val="32"/>
          <w:lang w:eastAsia="zh-CN"/>
        </w:rPr>
      </w:pPr>
      <w:r>
        <w:rPr>
          <w:rFonts w:hint="eastAsia" w:ascii="黑体" w:hAnsi="黑体" w:eastAsia="黑体"/>
          <w:b w:val="0"/>
          <w:sz w:val="32"/>
          <w:lang w:eastAsia="zh-CN"/>
        </w:rPr>
        <w:t>二、项目绩效自评结论</w:t>
      </w:r>
    </w:p>
    <w:p>
      <w:pPr>
        <w:keepNext w:val="0"/>
        <w:keepLines w:val="0"/>
        <w:pageBreakBefore w:val="0"/>
        <w:widowControl w:val="0"/>
        <w:kinsoku/>
        <w:wordWrap/>
        <w:overflowPunct/>
        <w:topLinePunct w:val="0"/>
        <w:autoSpaceDE/>
        <w:autoSpaceDN/>
        <w:bidi w:val="0"/>
        <w:adjustRightInd/>
        <w:snapToGrid w:val="0"/>
        <w:spacing w:line="360" w:lineRule="auto"/>
        <w:ind w:right="0" w:rightChars="0" w:firstLine="640" w:firstLineChars="200"/>
        <w:jc w:val="both"/>
        <w:outlineLvl w:val="9"/>
        <w:rPr>
          <w:rFonts w:hint="eastAsia" w:ascii="楷体" w:hAnsi="楷体" w:eastAsia="楷体" w:cs="楷体"/>
          <w:b w:val="0"/>
          <w:bCs/>
          <w:sz w:val="32"/>
          <w:lang w:eastAsia="zh-CN"/>
        </w:rPr>
      </w:pPr>
      <w:r>
        <w:rPr>
          <w:rFonts w:hint="eastAsia" w:ascii="楷体" w:hAnsi="楷体" w:eastAsia="楷体" w:cs="楷体"/>
          <w:b w:val="0"/>
          <w:bCs/>
          <w:sz w:val="32"/>
        </w:rPr>
        <w:t>（一）</w:t>
      </w:r>
      <w:r>
        <w:rPr>
          <w:rFonts w:hint="eastAsia" w:ascii="楷体" w:hAnsi="楷体" w:eastAsia="楷体" w:cs="楷体"/>
          <w:b w:val="0"/>
          <w:bCs/>
          <w:sz w:val="32"/>
          <w:lang w:eastAsia="zh-CN"/>
        </w:rPr>
        <w:t>项目绩效自评得分及等级</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40" w:firstLineChars="200"/>
        <w:jc w:val="both"/>
        <w:textAlignment w:val="auto"/>
        <w:outlineLvl w:val="9"/>
        <w:rPr>
          <w:rFonts w:hint="eastAsia" w:ascii="仿宋_GB2312" w:eastAsia="仿宋_GB2312"/>
          <w:b/>
          <w:sz w:val="32"/>
          <w:lang w:eastAsia="zh-CN"/>
        </w:rPr>
      </w:pPr>
      <w:r>
        <w:rPr>
          <w:rFonts w:hint="eastAsia" w:ascii="仿宋_GB2312" w:eastAsia="仿宋_GB2312"/>
          <w:sz w:val="32"/>
        </w:rPr>
        <w:t>项目绩效评价得分</w:t>
      </w:r>
      <w:r>
        <w:rPr>
          <w:rFonts w:hint="eastAsia" w:ascii="仿宋_GB2312" w:eastAsia="仿宋_GB2312"/>
          <w:sz w:val="32"/>
          <w:lang w:val="en-US" w:eastAsia="zh-CN"/>
        </w:rPr>
        <w:t>100</w:t>
      </w:r>
      <w:r>
        <w:rPr>
          <w:rFonts w:hint="eastAsia" w:ascii="仿宋_GB2312" w:eastAsia="仿宋_GB2312"/>
          <w:sz w:val="32"/>
        </w:rPr>
        <w:t>分，等级为</w:t>
      </w:r>
      <w:r>
        <w:rPr>
          <w:rFonts w:hint="eastAsia" w:ascii="仿宋_GB2312" w:eastAsia="仿宋_GB2312"/>
          <w:sz w:val="32"/>
          <w:lang w:eastAsia="zh-CN"/>
        </w:rPr>
        <w:t>优秀</w:t>
      </w:r>
      <w:r>
        <w:rPr>
          <w:rFonts w:hint="eastAsia" w:ascii="仿宋_GB2312" w:eastAsia="仿宋_GB2312"/>
          <w:sz w:val="32"/>
        </w:rPr>
        <w:t>。</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right="0" w:rightChars="0" w:firstLine="640" w:firstLineChars="200"/>
        <w:jc w:val="both"/>
        <w:outlineLvl w:val="9"/>
        <w:rPr>
          <w:rFonts w:hint="eastAsia" w:ascii="楷体" w:hAnsi="楷体" w:eastAsia="楷体" w:cs="楷体"/>
          <w:b w:val="0"/>
          <w:bCs/>
          <w:sz w:val="32"/>
          <w:lang w:val="en-US" w:eastAsia="zh-CN"/>
        </w:rPr>
      </w:pPr>
      <w:r>
        <w:rPr>
          <w:rFonts w:hint="eastAsia" w:ascii="楷体" w:hAnsi="楷体" w:eastAsia="楷体" w:cs="楷体"/>
          <w:b w:val="0"/>
          <w:bCs/>
          <w:sz w:val="32"/>
        </w:rPr>
        <w:t>（</w:t>
      </w:r>
      <w:r>
        <w:rPr>
          <w:rFonts w:hint="eastAsia" w:ascii="楷体" w:hAnsi="楷体" w:eastAsia="楷体" w:cs="楷体"/>
          <w:b w:val="0"/>
          <w:bCs/>
          <w:sz w:val="32"/>
          <w:lang w:eastAsia="zh-CN"/>
        </w:rPr>
        <w:t>二</w:t>
      </w:r>
      <w:r>
        <w:rPr>
          <w:rFonts w:hint="eastAsia" w:ascii="楷体" w:hAnsi="楷体" w:eastAsia="楷体" w:cs="楷体"/>
          <w:b w:val="0"/>
          <w:bCs/>
          <w:sz w:val="32"/>
        </w:rPr>
        <w:t>）</w:t>
      </w:r>
      <w:r>
        <w:rPr>
          <w:rFonts w:hint="eastAsia" w:ascii="楷体" w:hAnsi="楷体" w:eastAsia="楷体" w:cs="楷体"/>
          <w:b w:val="0"/>
          <w:bCs/>
          <w:sz w:val="32"/>
          <w:lang w:eastAsia="zh-CN"/>
        </w:rPr>
        <w:t>项目绩效目标实现情况分析</w:t>
      </w:r>
      <w:r>
        <w:rPr>
          <w:rFonts w:hint="eastAsia" w:ascii="楷体" w:hAnsi="楷体" w:eastAsia="楷体" w:cs="楷体"/>
          <w:b w:val="0"/>
          <w:bCs/>
          <w:sz w:val="32"/>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jc w:val="both"/>
        <w:textAlignment w:val="auto"/>
        <w:outlineLvl w:val="9"/>
        <w:rPr>
          <w:rFonts w:hint="eastAsia" w:ascii="仿宋_GB2312" w:eastAsia="仿宋_GB2312"/>
          <w:sz w:val="32"/>
        </w:rPr>
      </w:pPr>
      <w:r>
        <w:rPr>
          <w:rFonts w:hint="eastAsia" w:ascii="仿宋_GB2312" w:eastAsia="仿宋_GB2312"/>
          <w:sz w:val="32"/>
          <w:lang w:val="en-US" w:eastAsia="zh-CN"/>
        </w:rPr>
        <w:t xml:space="preserve">     </w:t>
      </w:r>
      <w:r>
        <w:rPr>
          <w:rFonts w:hint="eastAsia" w:ascii="仿宋_GB2312" w:eastAsia="仿宋_GB2312"/>
          <w:sz w:val="32"/>
        </w:rPr>
        <w:t>201</w:t>
      </w:r>
      <w:r>
        <w:rPr>
          <w:rFonts w:hint="eastAsia" w:ascii="仿宋_GB2312" w:eastAsia="仿宋_GB2312"/>
          <w:sz w:val="32"/>
          <w:lang w:val="en-US" w:eastAsia="zh-CN"/>
        </w:rPr>
        <w:t>7</w:t>
      </w:r>
      <w:r>
        <w:rPr>
          <w:rFonts w:hint="eastAsia" w:ascii="仿宋_GB2312" w:eastAsia="仿宋_GB2312"/>
          <w:sz w:val="32"/>
        </w:rPr>
        <w:t>年</w:t>
      </w:r>
      <w:r>
        <w:rPr>
          <w:rFonts w:hint="eastAsia" w:ascii="仿宋_GB2312" w:eastAsia="仿宋_GB2312"/>
          <w:sz w:val="32"/>
          <w:lang w:eastAsia="zh-CN"/>
        </w:rPr>
        <w:t>资金</w:t>
      </w:r>
      <w:r>
        <w:rPr>
          <w:rFonts w:hint="eastAsia" w:ascii="仿宋_GB2312" w:eastAsia="仿宋_GB2312"/>
          <w:sz w:val="32"/>
        </w:rPr>
        <w:t>项目设置</w:t>
      </w:r>
      <w:r>
        <w:rPr>
          <w:rFonts w:hint="eastAsia" w:ascii="仿宋_GB2312" w:eastAsia="仿宋_GB2312"/>
          <w:sz w:val="32"/>
          <w:lang w:val="en-US" w:eastAsia="zh-CN"/>
        </w:rPr>
        <w:t>5</w:t>
      </w:r>
      <w:r>
        <w:rPr>
          <w:rFonts w:hint="eastAsia" w:ascii="仿宋_GB2312" w:eastAsia="仿宋_GB2312"/>
          <w:sz w:val="32"/>
        </w:rPr>
        <w:t>个绩效目标</w:t>
      </w:r>
      <w:r>
        <w:rPr>
          <w:rFonts w:hint="eastAsia" w:ascii="仿宋_GB2312" w:eastAsia="仿宋_GB2312"/>
          <w:sz w:val="32"/>
          <w:lang w:eastAsia="zh-CN"/>
        </w:rPr>
        <w:t>。</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40" w:firstLineChars="200"/>
        <w:jc w:val="both"/>
        <w:textAlignment w:val="auto"/>
        <w:outlineLvl w:val="9"/>
        <w:rPr>
          <w:rFonts w:hint="eastAsia" w:ascii="仿宋_GB2312" w:eastAsia="仿宋_GB2312"/>
          <w:sz w:val="32"/>
        </w:rPr>
      </w:pPr>
      <w:r>
        <w:rPr>
          <w:rFonts w:hint="eastAsia" w:ascii="仿宋_GB2312" w:eastAsia="仿宋_GB2312"/>
          <w:sz w:val="32"/>
        </w:rPr>
        <w:t>第一是成本目标，绩效目标内容是</w:t>
      </w:r>
      <w:r>
        <w:rPr>
          <w:rFonts w:hint="eastAsia" w:ascii="仿宋_GB2312" w:eastAsia="仿宋_GB2312"/>
          <w:sz w:val="32"/>
          <w:lang w:eastAsia="zh-CN"/>
        </w:rPr>
        <w:t>预算执行率，绩效目标值是</w:t>
      </w:r>
      <w:r>
        <w:rPr>
          <w:rFonts w:hint="eastAsia" w:ascii="仿宋_GB2312" w:eastAsia="仿宋_GB2312"/>
          <w:sz w:val="32"/>
        </w:rPr>
        <w:t>201</w:t>
      </w:r>
      <w:r>
        <w:rPr>
          <w:rFonts w:hint="eastAsia" w:ascii="仿宋_GB2312" w:eastAsia="仿宋_GB2312"/>
          <w:sz w:val="32"/>
          <w:lang w:val="en-US" w:eastAsia="zh-CN"/>
        </w:rPr>
        <w:t>7</w:t>
      </w:r>
      <w:r>
        <w:rPr>
          <w:rFonts w:hint="eastAsia" w:ascii="仿宋_GB2312" w:eastAsia="仿宋_GB2312"/>
          <w:sz w:val="32"/>
        </w:rPr>
        <w:t>年</w:t>
      </w:r>
      <w:r>
        <w:rPr>
          <w:rFonts w:hint="eastAsia" w:ascii="仿宋_GB2312" w:eastAsia="仿宋_GB2312"/>
          <w:sz w:val="32"/>
          <w:lang w:eastAsia="zh-CN"/>
        </w:rPr>
        <w:t>预算执行率达到</w:t>
      </w:r>
      <w:r>
        <w:rPr>
          <w:rFonts w:hint="eastAsia" w:ascii="仿宋_GB2312" w:eastAsia="仿宋_GB2312"/>
          <w:sz w:val="32"/>
          <w:lang w:val="en-US" w:eastAsia="zh-CN"/>
        </w:rPr>
        <w:t>100%</w:t>
      </w:r>
      <w:r>
        <w:rPr>
          <w:rFonts w:hint="eastAsia" w:ascii="仿宋_GB2312" w:eastAsia="仿宋_GB2312"/>
          <w:sz w:val="32"/>
          <w:lang w:eastAsia="zh-CN"/>
        </w:rPr>
        <w:t>，</w:t>
      </w:r>
      <w:r>
        <w:rPr>
          <w:rFonts w:hint="eastAsia" w:ascii="仿宋_GB2312" w:eastAsia="仿宋_GB2312"/>
          <w:sz w:val="32"/>
        </w:rPr>
        <w:t>实际完成情况为：201</w:t>
      </w:r>
      <w:r>
        <w:rPr>
          <w:rFonts w:hint="eastAsia" w:ascii="仿宋_GB2312" w:eastAsia="仿宋_GB2312"/>
          <w:sz w:val="32"/>
          <w:lang w:val="en-US" w:eastAsia="zh-CN"/>
        </w:rPr>
        <w:t>7</w:t>
      </w:r>
      <w:r>
        <w:rPr>
          <w:rFonts w:hint="eastAsia" w:ascii="仿宋_GB2312" w:eastAsia="仿宋_GB2312"/>
          <w:sz w:val="32"/>
        </w:rPr>
        <w:t>年</w:t>
      </w:r>
      <w:r>
        <w:rPr>
          <w:rFonts w:hint="eastAsia" w:ascii="仿宋_GB2312" w:eastAsia="仿宋_GB2312"/>
          <w:sz w:val="32"/>
          <w:lang w:eastAsia="zh-CN"/>
        </w:rPr>
        <w:t>市级老区扶建专项资金</w:t>
      </w:r>
      <w:r>
        <w:rPr>
          <w:rFonts w:hint="eastAsia" w:ascii="仿宋_GB2312" w:eastAsia="仿宋_GB2312"/>
          <w:sz w:val="32"/>
          <w:lang w:val="en-US" w:eastAsia="zh-CN"/>
        </w:rPr>
        <w:t>800万元按规定时限全部下达，</w:t>
      </w:r>
      <w:r>
        <w:rPr>
          <w:rFonts w:hint="eastAsia" w:ascii="仿宋_GB2312" w:eastAsia="仿宋_GB2312"/>
          <w:sz w:val="32"/>
          <w:lang w:eastAsia="zh-CN"/>
        </w:rPr>
        <w:t>预算执行率为</w:t>
      </w:r>
      <w:r>
        <w:rPr>
          <w:rFonts w:hint="eastAsia" w:ascii="仿宋_GB2312" w:eastAsia="仿宋_GB2312"/>
          <w:sz w:val="32"/>
          <w:lang w:val="en-US" w:eastAsia="zh-CN"/>
        </w:rPr>
        <w:t>100%</w:t>
      </w:r>
      <w:r>
        <w:rPr>
          <w:rFonts w:hint="eastAsia" w:ascii="仿宋_GB2312" w:eastAsia="仿宋_GB2312"/>
          <w:sz w:val="32"/>
        </w:rPr>
        <w:t>。</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40" w:firstLineChars="200"/>
        <w:jc w:val="both"/>
        <w:textAlignment w:val="auto"/>
        <w:outlineLvl w:val="9"/>
        <w:rPr>
          <w:rFonts w:hint="eastAsia" w:ascii="仿宋_GB2312" w:eastAsia="仿宋_GB2312"/>
          <w:sz w:val="32"/>
        </w:rPr>
      </w:pPr>
      <w:r>
        <w:rPr>
          <w:rFonts w:hint="eastAsia" w:ascii="仿宋_GB2312" w:eastAsia="仿宋_GB2312"/>
          <w:sz w:val="32"/>
        </w:rPr>
        <w:t>第二是数量目标，绩效目标内容是</w:t>
      </w:r>
      <w:r>
        <w:rPr>
          <w:rFonts w:hint="eastAsia" w:ascii="仿宋_GB2312" w:eastAsia="仿宋_GB2312"/>
          <w:sz w:val="32"/>
          <w:lang w:eastAsia="zh-CN"/>
        </w:rPr>
        <w:t>补助县区数</w:t>
      </w:r>
      <w:r>
        <w:rPr>
          <w:rFonts w:hint="eastAsia" w:ascii="仿宋_GB2312" w:eastAsia="仿宋_GB2312"/>
          <w:sz w:val="32"/>
          <w:lang w:val="en-US" w:eastAsia="zh-CN"/>
        </w:rPr>
        <w:t>，</w:t>
      </w:r>
      <w:r>
        <w:rPr>
          <w:rFonts w:hint="eastAsia" w:ascii="仿宋_GB2312" w:eastAsia="仿宋_GB2312"/>
          <w:sz w:val="32"/>
        </w:rPr>
        <w:t>绩效目标值是201</w:t>
      </w:r>
      <w:r>
        <w:rPr>
          <w:rFonts w:hint="eastAsia" w:ascii="仿宋_GB2312" w:eastAsia="仿宋_GB2312"/>
          <w:sz w:val="32"/>
          <w:lang w:val="en-US" w:eastAsia="zh-CN"/>
        </w:rPr>
        <w:t>7</w:t>
      </w:r>
      <w:r>
        <w:rPr>
          <w:rFonts w:hint="eastAsia" w:ascii="仿宋_GB2312" w:eastAsia="仿宋_GB2312"/>
          <w:sz w:val="32"/>
        </w:rPr>
        <w:t>年</w:t>
      </w:r>
      <w:r>
        <w:rPr>
          <w:rFonts w:hint="eastAsia" w:ascii="仿宋_GB2312" w:eastAsia="仿宋_GB2312"/>
          <w:sz w:val="32"/>
          <w:lang w:eastAsia="zh-CN"/>
        </w:rPr>
        <w:t>补助县（市）区数不低于</w:t>
      </w:r>
      <w:r>
        <w:rPr>
          <w:rFonts w:hint="eastAsia" w:ascii="仿宋_GB2312" w:eastAsia="仿宋_GB2312"/>
          <w:sz w:val="32"/>
          <w:lang w:val="en-US" w:eastAsia="zh-CN"/>
        </w:rPr>
        <w:t>8</w:t>
      </w:r>
      <w:r>
        <w:rPr>
          <w:rFonts w:hint="eastAsia" w:ascii="仿宋_GB2312" w:eastAsia="仿宋_GB2312"/>
          <w:sz w:val="32"/>
        </w:rPr>
        <w:t>个。实际完成情况为：201</w:t>
      </w:r>
      <w:r>
        <w:rPr>
          <w:rFonts w:hint="eastAsia" w:ascii="仿宋_GB2312" w:eastAsia="仿宋_GB2312"/>
          <w:sz w:val="32"/>
          <w:lang w:val="en-US" w:eastAsia="zh-CN"/>
        </w:rPr>
        <w:t>7</w:t>
      </w:r>
      <w:r>
        <w:rPr>
          <w:rFonts w:hint="eastAsia" w:ascii="仿宋_GB2312" w:eastAsia="仿宋_GB2312"/>
          <w:sz w:val="32"/>
        </w:rPr>
        <w:t>年补助</w:t>
      </w:r>
      <w:r>
        <w:rPr>
          <w:rFonts w:hint="eastAsia" w:ascii="仿宋_GB2312" w:eastAsia="仿宋_GB2312"/>
          <w:sz w:val="32"/>
          <w:lang w:eastAsia="zh-CN"/>
        </w:rPr>
        <w:t>县（市）区</w:t>
      </w:r>
      <w:r>
        <w:rPr>
          <w:rFonts w:hint="eastAsia" w:ascii="仿宋_GB2312" w:eastAsia="仿宋_GB2312"/>
          <w:sz w:val="32"/>
          <w:lang w:val="en-US" w:eastAsia="zh-CN"/>
        </w:rPr>
        <w:t>8个</w:t>
      </w:r>
      <w:r>
        <w:rPr>
          <w:rFonts w:hint="eastAsia" w:ascii="仿宋_GB2312" w:eastAsia="仿宋_GB2312"/>
          <w:sz w:val="32"/>
        </w:rPr>
        <w:t>。</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40" w:firstLineChars="200"/>
        <w:jc w:val="both"/>
        <w:textAlignment w:val="auto"/>
        <w:outlineLvl w:val="9"/>
        <w:rPr>
          <w:rFonts w:hint="eastAsia" w:ascii="仿宋_GB2312" w:eastAsia="仿宋_GB2312"/>
          <w:sz w:val="32"/>
        </w:rPr>
      </w:pPr>
      <w:r>
        <w:rPr>
          <w:rFonts w:hint="eastAsia" w:ascii="仿宋_GB2312" w:eastAsia="仿宋_GB2312"/>
          <w:sz w:val="32"/>
          <w:lang w:eastAsia="zh-CN"/>
        </w:rPr>
        <w:t>第三是质量指标，绩效目标内容为下拨资金准确率。绩效目标值为下拨资金准确率为</w:t>
      </w:r>
      <w:r>
        <w:rPr>
          <w:rFonts w:hint="eastAsia" w:ascii="仿宋_GB2312" w:eastAsia="仿宋_GB2312"/>
          <w:sz w:val="32"/>
          <w:lang w:val="en-US" w:eastAsia="zh-CN"/>
        </w:rPr>
        <w:t>100%，实际完成情况为2017年市级老区扶建专项资金下拨准确率为100%。</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40" w:firstLineChars="200"/>
        <w:jc w:val="both"/>
        <w:textAlignment w:val="auto"/>
        <w:outlineLvl w:val="9"/>
        <w:rPr>
          <w:rFonts w:hint="eastAsia" w:ascii="仿宋_GB2312" w:eastAsia="仿宋_GB2312"/>
          <w:sz w:val="32"/>
        </w:rPr>
      </w:pPr>
      <w:r>
        <w:rPr>
          <w:rFonts w:hint="eastAsia" w:ascii="仿宋_GB2312" w:eastAsia="仿宋_GB2312"/>
          <w:sz w:val="32"/>
          <w:lang w:eastAsia="zh-CN"/>
        </w:rPr>
        <w:t>第四是</w:t>
      </w:r>
      <w:r>
        <w:rPr>
          <w:rFonts w:hint="eastAsia" w:ascii="仿宋_GB2312" w:eastAsia="仿宋_GB2312"/>
          <w:sz w:val="32"/>
        </w:rPr>
        <w:t>社会效益目标，绩效目标内容是</w:t>
      </w:r>
      <w:r>
        <w:rPr>
          <w:rFonts w:hint="eastAsia" w:ascii="仿宋_GB2312" w:eastAsia="仿宋_GB2312"/>
          <w:sz w:val="32"/>
          <w:lang w:eastAsia="zh-CN"/>
        </w:rPr>
        <w:t>补助老区村水、路等基础设施建设项目数量</w:t>
      </w:r>
      <w:r>
        <w:rPr>
          <w:rFonts w:hint="eastAsia" w:ascii="仿宋_GB2312" w:eastAsia="仿宋_GB2312"/>
          <w:sz w:val="32"/>
          <w:lang w:val="en-US" w:eastAsia="zh-CN"/>
        </w:rPr>
        <w:t>，</w:t>
      </w:r>
      <w:r>
        <w:rPr>
          <w:rFonts w:hint="eastAsia" w:ascii="仿宋_GB2312" w:eastAsia="仿宋_GB2312"/>
          <w:sz w:val="32"/>
        </w:rPr>
        <w:t>绩效目标值是201</w:t>
      </w:r>
      <w:r>
        <w:rPr>
          <w:rFonts w:hint="eastAsia" w:ascii="仿宋_GB2312" w:eastAsia="仿宋_GB2312"/>
          <w:sz w:val="32"/>
          <w:lang w:val="en-US" w:eastAsia="zh-CN"/>
        </w:rPr>
        <w:t>7</w:t>
      </w:r>
      <w:r>
        <w:rPr>
          <w:rFonts w:hint="eastAsia" w:ascii="仿宋_GB2312" w:eastAsia="仿宋_GB2312"/>
          <w:sz w:val="32"/>
        </w:rPr>
        <w:t>年</w:t>
      </w:r>
      <w:r>
        <w:rPr>
          <w:rFonts w:hint="eastAsia" w:ascii="仿宋_GB2312" w:eastAsia="仿宋_GB2312"/>
          <w:sz w:val="32"/>
          <w:lang w:eastAsia="zh-CN"/>
        </w:rPr>
        <w:t>补助老区村水、路等基础设施建设项目不少于</w:t>
      </w:r>
      <w:r>
        <w:rPr>
          <w:rFonts w:hint="eastAsia" w:ascii="仿宋_GB2312" w:eastAsia="仿宋_GB2312"/>
          <w:sz w:val="32"/>
          <w:lang w:val="en-US" w:eastAsia="zh-CN"/>
        </w:rPr>
        <w:t>70个。</w:t>
      </w:r>
      <w:r>
        <w:rPr>
          <w:rFonts w:hint="eastAsia" w:ascii="仿宋_GB2312" w:eastAsia="仿宋_GB2312"/>
          <w:sz w:val="32"/>
        </w:rPr>
        <w:t>实际完成情况为：201</w:t>
      </w:r>
      <w:r>
        <w:rPr>
          <w:rFonts w:hint="eastAsia" w:ascii="仿宋_GB2312" w:eastAsia="仿宋_GB2312"/>
          <w:sz w:val="32"/>
          <w:lang w:val="en-US" w:eastAsia="zh-CN"/>
        </w:rPr>
        <w:t>7</w:t>
      </w:r>
      <w:r>
        <w:rPr>
          <w:rFonts w:hint="eastAsia" w:ascii="仿宋_GB2312" w:eastAsia="仿宋_GB2312"/>
          <w:sz w:val="32"/>
        </w:rPr>
        <w:t>年</w:t>
      </w:r>
      <w:r>
        <w:rPr>
          <w:rFonts w:hint="eastAsia" w:ascii="仿宋_GB2312" w:eastAsia="仿宋_GB2312"/>
          <w:sz w:val="32"/>
          <w:lang w:eastAsia="zh-CN"/>
        </w:rPr>
        <w:t>补助老区村水、路等基础设施建设项目为</w:t>
      </w:r>
      <w:r>
        <w:rPr>
          <w:rFonts w:hint="eastAsia" w:ascii="仿宋_GB2312" w:eastAsia="仿宋_GB2312"/>
          <w:sz w:val="32"/>
          <w:lang w:val="en-US" w:eastAsia="zh-CN"/>
        </w:rPr>
        <w:t>85个，目标完成率为121.4%</w:t>
      </w:r>
      <w:r>
        <w:rPr>
          <w:rFonts w:hint="eastAsia" w:ascii="仿宋_GB2312" w:eastAsia="仿宋_GB2312"/>
          <w:sz w:val="32"/>
        </w:rPr>
        <w:t>。</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40" w:firstLineChars="200"/>
        <w:jc w:val="both"/>
        <w:textAlignment w:val="auto"/>
        <w:outlineLvl w:val="9"/>
        <w:rPr>
          <w:rFonts w:hint="eastAsia" w:ascii="仿宋_GB2312" w:eastAsia="仿宋_GB2312"/>
          <w:sz w:val="32"/>
          <w:lang w:eastAsia="zh-CN"/>
        </w:rPr>
      </w:pPr>
      <w:r>
        <w:rPr>
          <w:rFonts w:hint="eastAsia" w:ascii="仿宋_GB2312" w:eastAsia="仿宋_GB2312"/>
          <w:sz w:val="32"/>
          <w:lang w:eastAsia="zh-CN"/>
        </w:rPr>
        <w:t>第五是服务对象满意度指标，</w:t>
      </w:r>
      <w:r>
        <w:rPr>
          <w:rFonts w:hint="eastAsia" w:ascii="仿宋_GB2312" w:eastAsia="仿宋_GB2312"/>
          <w:sz w:val="32"/>
        </w:rPr>
        <w:t>绩效目标内容</w:t>
      </w:r>
      <w:r>
        <w:rPr>
          <w:rFonts w:hint="eastAsia" w:ascii="仿宋_GB2312" w:eastAsia="仿宋_GB2312"/>
          <w:sz w:val="32"/>
          <w:lang w:eastAsia="zh-CN"/>
        </w:rPr>
        <w:t>为受扶老区村满意度</w:t>
      </w:r>
      <w:r>
        <w:rPr>
          <w:rFonts w:hint="eastAsia" w:ascii="仿宋_GB2312" w:eastAsia="仿宋_GB2312"/>
          <w:sz w:val="32"/>
          <w:lang w:val="en-US" w:eastAsia="zh-CN"/>
        </w:rPr>
        <w:t>。</w:t>
      </w:r>
      <w:r>
        <w:rPr>
          <w:rFonts w:hint="eastAsia" w:ascii="仿宋_GB2312" w:eastAsia="仿宋_GB2312"/>
          <w:sz w:val="32"/>
        </w:rPr>
        <w:t>绩效目标值是201</w:t>
      </w:r>
      <w:r>
        <w:rPr>
          <w:rFonts w:hint="eastAsia" w:ascii="仿宋_GB2312" w:eastAsia="仿宋_GB2312"/>
          <w:sz w:val="32"/>
          <w:lang w:val="en-US" w:eastAsia="zh-CN"/>
        </w:rPr>
        <w:t>7</w:t>
      </w:r>
      <w:r>
        <w:rPr>
          <w:rFonts w:hint="eastAsia" w:ascii="仿宋_GB2312" w:eastAsia="仿宋_GB2312"/>
          <w:sz w:val="32"/>
        </w:rPr>
        <w:t>年</w:t>
      </w:r>
      <w:r>
        <w:rPr>
          <w:rFonts w:hint="eastAsia" w:ascii="仿宋_GB2312" w:eastAsia="仿宋_GB2312"/>
          <w:sz w:val="32"/>
          <w:lang w:eastAsia="zh-CN"/>
        </w:rPr>
        <w:t>受扶老区村对资金到位，安排补助项目的满意度为</w:t>
      </w:r>
      <w:r>
        <w:rPr>
          <w:rFonts w:hint="eastAsia" w:ascii="仿宋_GB2312" w:eastAsia="仿宋_GB2312"/>
          <w:sz w:val="32"/>
          <w:lang w:val="en-US" w:eastAsia="zh-CN"/>
        </w:rPr>
        <w:t>100%。</w:t>
      </w:r>
      <w:r>
        <w:rPr>
          <w:rFonts w:hint="eastAsia" w:ascii="仿宋_GB2312" w:eastAsia="仿宋_GB2312"/>
          <w:sz w:val="32"/>
        </w:rPr>
        <w:t>实际完成情况为：201</w:t>
      </w:r>
      <w:r>
        <w:rPr>
          <w:rFonts w:hint="eastAsia" w:ascii="仿宋_GB2312" w:eastAsia="仿宋_GB2312"/>
          <w:sz w:val="32"/>
          <w:lang w:val="en-US" w:eastAsia="zh-CN"/>
        </w:rPr>
        <w:t>7</w:t>
      </w:r>
      <w:r>
        <w:rPr>
          <w:rFonts w:hint="eastAsia" w:ascii="仿宋_GB2312" w:eastAsia="仿宋_GB2312"/>
          <w:sz w:val="32"/>
        </w:rPr>
        <w:t>年</w:t>
      </w:r>
      <w:r>
        <w:rPr>
          <w:rFonts w:hint="eastAsia" w:ascii="仿宋_GB2312" w:eastAsia="仿宋_GB2312"/>
          <w:sz w:val="32"/>
          <w:lang w:eastAsia="zh-CN"/>
        </w:rPr>
        <w:t>，根据市委脱贫攻坚工作部署和主要领导批示精神，以省、市老区扶贫开发重点村、老区贫困村为重点，加大资金帮扶力度，帮扶针对性强，帮扶时效性高，帮扶项目基本上按时完成，有效改善老区村面貌和老区群众生活生活条件，受扶老区群众满意度为</w:t>
      </w:r>
      <w:r>
        <w:rPr>
          <w:rFonts w:hint="eastAsia" w:ascii="仿宋_GB2312" w:eastAsia="仿宋_GB2312"/>
          <w:sz w:val="32"/>
          <w:lang w:val="en-US" w:eastAsia="zh-CN"/>
        </w:rPr>
        <w:t>100%。</w:t>
      </w:r>
    </w:p>
    <w:p>
      <w:pPr>
        <w:keepNext w:val="0"/>
        <w:keepLines w:val="0"/>
        <w:pageBreakBefore w:val="0"/>
        <w:widowControl w:val="0"/>
        <w:kinsoku/>
        <w:wordWrap/>
        <w:overflowPunct/>
        <w:topLinePunct w:val="0"/>
        <w:autoSpaceDE/>
        <w:autoSpaceDN/>
        <w:bidi w:val="0"/>
        <w:adjustRightInd/>
        <w:snapToGrid w:val="0"/>
        <w:spacing w:line="360" w:lineRule="auto"/>
        <w:ind w:right="0" w:rightChars="0" w:firstLine="640" w:firstLineChars="200"/>
        <w:jc w:val="both"/>
        <w:outlineLvl w:val="9"/>
        <w:rPr>
          <w:rFonts w:hint="eastAsia" w:ascii="楷体" w:hAnsi="楷体" w:eastAsia="楷体" w:cs="楷体"/>
          <w:b w:val="0"/>
          <w:bCs/>
          <w:color w:val="000000"/>
          <w:kern w:val="0"/>
          <w:sz w:val="32"/>
        </w:rPr>
      </w:pPr>
      <w:r>
        <w:rPr>
          <w:rFonts w:hint="eastAsia" w:ascii="楷体" w:hAnsi="楷体" w:eastAsia="楷体" w:cs="楷体"/>
          <w:b w:val="0"/>
          <w:bCs/>
          <w:color w:val="000000"/>
          <w:kern w:val="0"/>
          <w:sz w:val="32"/>
        </w:rPr>
        <w:t>（</w:t>
      </w:r>
      <w:r>
        <w:rPr>
          <w:rFonts w:hint="eastAsia" w:ascii="楷体" w:hAnsi="楷体" w:eastAsia="楷体" w:cs="楷体"/>
          <w:b w:val="0"/>
          <w:bCs/>
          <w:color w:val="000000"/>
          <w:kern w:val="0"/>
          <w:sz w:val="32"/>
          <w:lang w:eastAsia="zh-CN"/>
        </w:rPr>
        <w:t>三</w:t>
      </w:r>
      <w:r>
        <w:rPr>
          <w:rFonts w:hint="eastAsia" w:ascii="楷体" w:hAnsi="楷体" w:eastAsia="楷体" w:cs="楷体"/>
          <w:b w:val="0"/>
          <w:bCs/>
          <w:color w:val="000000"/>
          <w:kern w:val="0"/>
          <w:sz w:val="32"/>
        </w:rPr>
        <w:t>）项目实施中存在的问题和改进</w:t>
      </w:r>
      <w:r>
        <w:rPr>
          <w:rFonts w:hint="eastAsia" w:ascii="楷体" w:hAnsi="楷体" w:eastAsia="楷体" w:cs="楷体"/>
          <w:b w:val="0"/>
          <w:bCs/>
          <w:color w:val="000000"/>
          <w:kern w:val="0"/>
          <w:sz w:val="32"/>
          <w:lang w:eastAsia="zh-CN"/>
        </w:rPr>
        <w:t>建议</w:t>
      </w:r>
    </w:p>
    <w:p>
      <w:pPr>
        <w:keepNext w:val="0"/>
        <w:keepLines w:val="0"/>
        <w:pageBreakBefore w:val="0"/>
        <w:widowControl w:val="0"/>
        <w:kinsoku/>
        <w:wordWrap/>
        <w:overflowPunct/>
        <w:topLinePunct w:val="0"/>
        <w:autoSpaceDE/>
        <w:autoSpaceDN/>
        <w:bidi w:val="0"/>
        <w:adjustRightInd/>
        <w:snapToGrid w:val="0"/>
        <w:spacing w:line="360" w:lineRule="auto"/>
        <w:ind w:left="640" w:right="0" w:rightChars="0"/>
        <w:jc w:val="both"/>
        <w:outlineLvl w:val="9"/>
        <w:rPr>
          <w:rFonts w:hint="eastAsia" w:ascii="仿宋_GB2312" w:eastAsia="仿宋_GB2312"/>
          <w:sz w:val="32"/>
          <w:lang w:eastAsia="zh-CN"/>
        </w:rPr>
      </w:pPr>
      <w:r>
        <w:rPr>
          <w:rFonts w:hint="eastAsia" w:ascii="仿宋_GB2312" w:eastAsia="仿宋_GB2312"/>
          <w:sz w:val="32"/>
          <w:lang w:eastAsia="zh-CN"/>
        </w:rPr>
        <w:t>存在问题：</w:t>
      </w:r>
    </w:p>
    <w:p>
      <w:pPr>
        <w:keepNext w:val="0"/>
        <w:keepLines w:val="0"/>
        <w:pageBreakBefore w:val="0"/>
        <w:widowControl w:val="0"/>
        <w:numPr>
          <w:ilvl w:val="0"/>
          <w:numId w:val="1"/>
        </w:numPr>
        <w:kinsoku/>
        <w:wordWrap/>
        <w:overflowPunct/>
        <w:topLinePunct w:val="0"/>
        <w:autoSpaceDE/>
        <w:autoSpaceDN/>
        <w:bidi w:val="0"/>
        <w:adjustRightInd/>
        <w:snapToGrid w:val="0"/>
        <w:spacing w:line="360" w:lineRule="auto"/>
        <w:ind w:right="0" w:rightChars="0" w:firstLine="640" w:firstLineChars="200"/>
        <w:jc w:val="both"/>
        <w:outlineLvl w:val="9"/>
        <w:rPr>
          <w:rFonts w:hint="eastAsia" w:ascii="仿宋_GB2312" w:eastAsia="仿宋_GB2312"/>
          <w:sz w:val="32"/>
          <w:szCs w:val="32"/>
        </w:rPr>
      </w:pPr>
      <w:r>
        <w:rPr>
          <w:rFonts w:hint="eastAsia" w:ascii="仿宋_GB2312" w:eastAsia="仿宋_GB2312"/>
          <w:sz w:val="32"/>
          <w:szCs w:val="32"/>
        </w:rPr>
        <w:t>有些帮扶项目由于各种原因，进展</w:t>
      </w:r>
      <w:r>
        <w:rPr>
          <w:rFonts w:hint="eastAsia" w:ascii="仿宋_GB2312" w:eastAsia="仿宋_GB2312"/>
          <w:sz w:val="32"/>
          <w:szCs w:val="32"/>
          <w:lang w:eastAsia="zh-CN"/>
        </w:rPr>
        <w:t>偏</w:t>
      </w:r>
      <w:r>
        <w:rPr>
          <w:rFonts w:hint="eastAsia" w:ascii="仿宋_GB2312" w:eastAsia="仿宋_GB2312"/>
          <w:sz w:val="32"/>
          <w:szCs w:val="32"/>
        </w:rPr>
        <w:t>慢。</w:t>
      </w:r>
    </w:p>
    <w:p>
      <w:pPr>
        <w:keepNext w:val="0"/>
        <w:keepLines w:val="0"/>
        <w:pageBreakBefore w:val="0"/>
        <w:widowControl w:val="0"/>
        <w:numPr>
          <w:ilvl w:val="0"/>
          <w:numId w:val="1"/>
        </w:numPr>
        <w:kinsoku/>
        <w:wordWrap/>
        <w:overflowPunct/>
        <w:topLinePunct w:val="0"/>
        <w:autoSpaceDE/>
        <w:autoSpaceDN/>
        <w:bidi w:val="0"/>
        <w:adjustRightInd/>
        <w:snapToGrid w:val="0"/>
        <w:spacing w:line="360" w:lineRule="auto"/>
        <w:ind w:right="0" w:rightChars="0" w:firstLine="640" w:firstLineChars="200"/>
        <w:jc w:val="both"/>
        <w:outlineLvl w:val="9"/>
        <w:rPr>
          <w:rFonts w:hint="eastAsia" w:ascii="仿宋_GB2312" w:hAnsi="仿宋_GB2312" w:eastAsia="仿宋_GB2312"/>
          <w:sz w:val="32"/>
        </w:rPr>
      </w:pPr>
      <w:r>
        <w:rPr>
          <w:rFonts w:hint="eastAsia" w:ascii="仿宋_GB2312" w:eastAsia="仿宋_GB2312"/>
          <w:sz w:val="32"/>
          <w:szCs w:val="32"/>
        </w:rPr>
        <w:t>有些老区帮扶项目扶建档案资料不</w:t>
      </w:r>
      <w:r>
        <w:rPr>
          <w:rFonts w:hint="eastAsia" w:ascii="仿宋_GB2312" w:eastAsia="仿宋_GB2312"/>
          <w:sz w:val="32"/>
          <w:szCs w:val="32"/>
          <w:lang w:eastAsia="zh-CN"/>
        </w:rPr>
        <w:t>够</w:t>
      </w:r>
      <w:r>
        <w:rPr>
          <w:rFonts w:hint="eastAsia" w:ascii="仿宋_GB2312" w:eastAsia="仿宋_GB2312"/>
          <w:sz w:val="32"/>
          <w:szCs w:val="32"/>
        </w:rPr>
        <w:t>健全</w:t>
      </w:r>
      <w:r>
        <w:rPr>
          <w:rFonts w:hint="eastAsia" w:ascii="仿宋_GB2312" w:hAnsi="仿宋_GB2312" w:eastAsia="仿宋_GB2312"/>
          <w:sz w:val="32"/>
        </w:rPr>
        <w:t>。</w:t>
      </w:r>
    </w:p>
    <w:p>
      <w:pPr>
        <w:keepNext w:val="0"/>
        <w:keepLines w:val="0"/>
        <w:pageBreakBefore w:val="0"/>
        <w:widowControl w:val="0"/>
        <w:kinsoku/>
        <w:wordWrap/>
        <w:overflowPunct/>
        <w:topLinePunct w:val="0"/>
        <w:autoSpaceDE/>
        <w:autoSpaceDN/>
        <w:bidi w:val="0"/>
        <w:adjustRightInd/>
        <w:snapToGrid w:val="0"/>
        <w:spacing w:line="360" w:lineRule="auto"/>
        <w:ind w:right="0" w:rightChars="0" w:firstLine="640" w:firstLineChars="200"/>
        <w:jc w:val="both"/>
        <w:outlineLvl w:val="9"/>
        <w:rPr>
          <w:rFonts w:hint="eastAsia" w:ascii="仿宋_GB2312" w:eastAsia="仿宋_GB2312"/>
          <w:sz w:val="32"/>
        </w:rPr>
      </w:pPr>
      <w:r>
        <w:rPr>
          <w:rFonts w:hint="eastAsia" w:ascii="仿宋_GB2312" w:eastAsia="仿宋_GB2312"/>
          <w:sz w:val="32"/>
        </w:rPr>
        <w:t>建议：</w:t>
      </w:r>
    </w:p>
    <w:p>
      <w:pPr>
        <w:keepNext w:val="0"/>
        <w:keepLines w:val="0"/>
        <w:pageBreakBefore w:val="0"/>
        <w:widowControl w:val="0"/>
        <w:numPr>
          <w:ilvl w:val="0"/>
          <w:numId w:val="2"/>
        </w:numPr>
        <w:kinsoku/>
        <w:wordWrap/>
        <w:overflowPunct/>
        <w:topLinePunct w:val="0"/>
        <w:autoSpaceDE/>
        <w:autoSpaceDN/>
        <w:bidi w:val="0"/>
        <w:snapToGrid w:val="0"/>
        <w:spacing w:line="360" w:lineRule="auto"/>
        <w:ind w:right="0" w:rightChars="0" w:firstLine="640" w:firstLineChars="200"/>
        <w:jc w:val="both"/>
        <w:rPr>
          <w:rFonts w:hint="eastAsia" w:ascii="仿宋_GB2312" w:eastAsia="仿宋_GB2312"/>
          <w:sz w:val="32"/>
          <w:szCs w:val="32"/>
        </w:rPr>
      </w:pPr>
      <w:r>
        <w:rPr>
          <w:rFonts w:hint="eastAsia" w:ascii="仿宋_GB2312" w:eastAsia="仿宋_GB2312"/>
          <w:sz w:val="32"/>
          <w:szCs w:val="32"/>
        </w:rPr>
        <w:t>相关县（市）区切实</w:t>
      </w:r>
      <w:r>
        <w:rPr>
          <w:rFonts w:hint="eastAsia" w:ascii="仿宋_GB2312" w:eastAsia="仿宋_GB2312"/>
          <w:sz w:val="32"/>
          <w:szCs w:val="32"/>
          <w:lang w:eastAsia="zh-CN"/>
        </w:rPr>
        <w:t>加强</w:t>
      </w:r>
      <w:r>
        <w:rPr>
          <w:rFonts w:hint="eastAsia" w:ascii="仿宋_GB2312" w:eastAsia="仿宋_GB2312"/>
          <w:sz w:val="32"/>
          <w:szCs w:val="32"/>
        </w:rPr>
        <w:t>资金使用和项目实施的</w:t>
      </w:r>
      <w:r>
        <w:rPr>
          <w:rFonts w:hint="eastAsia" w:ascii="仿宋_GB2312" w:eastAsia="仿宋_GB2312"/>
          <w:sz w:val="32"/>
          <w:szCs w:val="32"/>
          <w:lang w:eastAsia="zh-CN"/>
        </w:rPr>
        <w:t>监管力度</w:t>
      </w:r>
      <w:r>
        <w:rPr>
          <w:rFonts w:hint="eastAsia" w:ascii="仿宋_GB2312" w:eastAsia="仿宋_GB2312"/>
          <w:sz w:val="32"/>
          <w:szCs w:val="32"/>
        </w:rPr>
        <w:t>，进一步强化对帮扶项目的监管指导，加快帮扶项目实施进度，确保项目按时完成。</w:t>
      </w:r>
    </w:p>
    <w:p>
      <w:pPr>
        <w:keepNext w:val="0"/>
        <w:keepLines w:val="0"/>
        <w:pageBreakBefore w:val="0"/>
        <w:widowControl w:val="0"/>
        <w:numPr>
          <w:ilvl w:val="0"/>
          <w:numId w:val="0"/>
        </w:numPr>
        <w:kinsoku/>
        <w:wordWrap/>
        <w:overflowPunct/>
        <w:topLinePunct w:val="0"/>
        <w:autoSpaceDE/>
        <w:autoSpaceDN/>
        <w:bidi w:val="0"/>
        <w:snapToGrid w:val="0"/>
        <w:spacing w:line="360" w:lineRule="auto"/>
        <w:ind w:right="0" w:rightChars="0" w:firstLine="640" w:firstLineChars="200"/>
        <w:jc w:val="both"/>
      </w:pPr>
      <w:r>
        <w:rPr>
          <w:rFonts w:hint="eastAsia" w:ascii="仿宋_GB2312" w:eastAsia="仿宋_GB2312"/>
          <w:sz w:val="32"/>
          <w:szCs w:val="32"/>
          <w:lang w:val="en-US" w:eastAsia="zh-CN"/>
        </w:rPr>
        <w:t>2、</w:t>
      </w:r>
      <w:r>
        <w:rPr>
          <w:rFonts w:hint="eastAsia" w:ascii="仿宋_GB2312" w:eastAsia="仿宋_GB2312"/>
          <w:sz w:val="32"/>
          <w:szCs w:val="32"/>
        </w:rPr>
        <w:t>进一步加强老区扶建项目档案管理，健全资金项目档案资料，做到一个项目一个档案。确保资金安全、规范、有效运行，发挥资金使用效益。</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微软雅黑"/>
    <w:panose1 w:val="02010601030101010101"/>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617EF4"/>
    <w:multiLevelType w:val="singleLevel"/>
    <w:tmpl w:val="5B617EF4"/>
    <w:lvl w:ilvl="0" w:tentative="0">
      <w:start w:val="1"/>
      <w:numFmt w:val="decimal"/>
      <w:suff w:val="nothing"/>
      <w:lvlText w:val="%1、"/>
      <w:lvlJc w:val="left"/>
    </w:lvl>
  </w:abstractNum>
  <w:abstractNum w:abstractNumId="1">
    <w:nsid w:val="5B617F39"/>
    <w:multiLevelType w:val="singleLevel"/>
    <w:tmpl w:val="5B617F39"/>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A509C0"/>
    <w:rsid w:val="54A509C0"/>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Body Text Indent"/>
    <w:basedOn w:val="1"/>
    <w:uiPriority w:val="0"/>
    <w:pPr>
      <w:ind w:firstLine="630"/>
    </w:pPr>
    <w:rPr>
      <w:rFonts w:eastAsia="仿宋_GB2312"/>
      <w:sz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2018-09-11T02:58:00Z</dcterms:created>
  <dc:creator>Administrator</dc:creator>
  <cp:lastModifiedBy>Administrator</cp:lastModifiedBy>
  <dcterms:modified xsi:type="dcterms:W3CDTF">2018-09-11T02:58:18Z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