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2017年福州市带病回乡人员定期</w:t>
      </w:r>
    </w:p>
    <w:p>
      <w:pPr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生活补助项目绩效自评报告</w:t>
      </w:r>
    </w:p>
    <w:p>
      <w:pPr>
        <w:tabs>
          <w:tab w:val="left" w:pos="5985"/>
        </w:tabs>
        <w:adjustRightInd w:val="0"/>
        <w:snapToGrid w:val="0"/>
        <w:spacing w:line="360" w:lineRule="auto"/>
        <w:ind w:firstLine="640" w:firstLineChars="200"/>
        <w:rPr>
          <w:rFonts w:hint="eastAsia" w:ascii="黑体" w:eastAsia="黑体"/>
          <w:sz w:val="32"/>
        </w:rPr>
      </w:pP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sz w:val="32"/>
        </w:rPr>
      </w:pPr>
      <w:r>
        <w:rPr>
          <w:rFonts w:hint="eastAsia" w:ascii="黑体" w:hAnsi="宋体" w:eastAsia="黑体"/>
          <w:sz w:val="32"/>
        </w:rPr>
        <w:t xml:space="preserve">    一、项目总体情况</w:t>
      </w:r>
    </w:p>
    <w:p>
      <w:pPr>
        <w:adjustRightInd w:val="0"/>
        <w:snapToGrid w:val="0"/>
        <w:spacing w:line="360" w:lineRule="auto"/>
        <w:ind w:firstLine="624" w:firstLineChars="195"/>
        <w:rPr>
          <w:rFonts w:hint="eastAsia"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近年来，市委、市政府高度重视退伍军人优抚优待工作，把抚恤补助工作作为落实国家抚恤优待政策一项重要内容，抓紧抓好，各类优抚对象的抚恤补助所资金列入财政预算。同时，民政部门会同财政部门做好优抚对象抚恤补助资金预算安排工作， 2017年市级财政下拨各县（市）区</w:t>
      </w:r>
      <w:r>
        <w:rPr>
          <w:rFonts w:hint="eastAsia" w:ascii="仿宋_GB2312" w:hAnsi="仿宋_GB2312" w:eastAsia="仿宋_GB2312"/>
          <w:sz w:val="32"/>
        </w:rPr>
        <w:t>带病回乡人员定期生活补助（省补助市级配套项目）58.14万元</w:t>
      </w:r>
      <w:r>
        <w:rPr>
          <w:rFonts w:hint="eastAsia" w:ascii="仿宋_GB2312" w:hAnsi="仿宋" w:eastAsia="仿宋_GB2312"/>
          <w:sz w:val="32"/>
        </w:rPr>
        <w:t>，确保了优抚对象抚恤补助资金及时足额发放。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二、项目绩效自评结论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（一）项目绩效自评得分及等级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b/>
          <w:sz w:val="32"/>
        </w:rPr>
      </w:pPr>
      <w:r>
        <w:rPr>
          <w:rFonts w:hint="eastAsia" w:ascii="仿宋_GB2312" w:eastAsia="仿宋_GB2312"/>
          <w:sz w:val="32"/>
        </w:rPr>
        <w:t>项目绩效评价得分97.49分，等级为优秀。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 xml:space="preserve">（二）项目绩效目标实现情况分析 </w:t>
      </w:r>
    </w:p>
    <w:p>
      <w:pPr>
        <w:adjustRightInd w:val="0"/>
        <w:snapToGrid w:val="0"/>
        <w:spacing w:line="360" w:lineRule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 2017年项目设置了5个绩效目标，其中：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一是时效目标，绩效目标内容为目标完成率，其中年初财政批复设置目标值3个（预算执行率、补助县区数、受益的带病回乡人员保障率），期中增编设置目标值2个（目标完成率、资金下拨准确率）。2017年目标完成率（当年完成目标数/期初编制目标数）为100%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Arial" w:eastAsia="仿宋_GB2312"/>
          <w:color w:val="000000"/>
          <w:kern w:val="0"/>
          <w:sz w:val="32"/>
          <w:shd w:val="clear" w:color="auto" w:fill="FFFFFF"/>
        </w:rPr>
      </w:pPr>
      <w:r>
        <w:rPr>
          <w:rFonts w:hint="eastAsia" w:ascii="仿宋_GB2312" w:eastAsia="仿宋_GB2312"/>
          <w:sz w:val="32"/>
        </w:rPr>
        <w:t>第二是成本目标，绩效目标内容是预算执行率， 2017年预算目标执行率为不低于95%。目标实际完成率为83.06%主要原因是：年初安排预算时，考虑到全国调整提高抚恤补助标准地方需配套资金，造成预算目标执行率未达标。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第三是数量目标，绩效目标内容是补助县区数，参考标准是2016年12个县（市）区，绩效目标值是2017年不低于12个县(市)区。实际完成情况为：2017年补助12个县（市）区。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第四是质量目标，绩效目标内容是下拨资金准确率，为期中增编目标值，绩效目标值是2017年100%。实际完成情况为：2017年下拨资金准确率为100%。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五是社会效益目标，绩效目标内容是受益的带病回乡人员保障率，参考标准是2016年受益的带病回乡人员保障率为100%，绩效目标值是2017年受益的带病回乡人员保障率100%。实际完成情况为：2017年受益的带病回乡人员814人，保障率为100%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楷体" w:hAnsi="楷体" w:eastAsia="楷体" w:cs="楷体"/>
          <w:bCs/>
          <w:color w:val="000000"/>
          <w:kern w:val="0"/>
          <w:sz w:val="32"/>
        </w:rPr>
      </w:pPr>
      <w:r>
        <w:rPr>
          <w:rFonts w:hint="eastAsia" w:ascii="楷体" w:hAnsi="楷体" w:eastAsia="楷体" w:cs="楷体"/>
          <w:bCs/>
          <w:color w:val="000000"/>
          <w:kern w:val="0"/>
          <w:sz w:val="32"/>
        </w:rPr>
        <w:t>（三）项目实施中存在的问题和改进建议</w:t>
      </w:r>
    </w:p>
    <w:p>
      <w:pPr>
        <w:adjustRightInd w:val="0"/>
        <w:snapToGrid w:val="0"/>
        <w:spacing w:line="360" w:lineRule="auto"/>
        <w:ind w:left="64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1、存在问题：</w:t>
      </w:r>
    </w:p>
    <w:p>
      <w:pPr>
        <w:adjustRightInd w:val="0"/>
        <w:snapToGrid w:val="0"/>
        <w:spacing w:line="360" w:lineRule="auto"/>
        <w:ind w:firstLine="480" w:firstLineChars="150"/>
        <w:rPr>
          <w:rFonts w:hint="eastAsia" w:ascii="仿宋_GB2312" w:hAns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（1）管理</w:t>
      </w:r>
      <w:r>
        <w:rPr>
          <w:rFonts w:hint="eastAsia" w:ascii="仿宋_GB2312" w:hAnsi="仿宋_GB2312" w:eastAsia="仿宋_GB2312"/>
          <w:sz w:val="32"/>
        </w:rPr>
        <w:t>不够规范化、不够完善</w:t>
      </w:r>
      <w:r>
        <w:rPr>
          <w:rFonts w:hint="eastAsia" w:ascii="仿宋_GB2312" w:hAnsi="仿宋_GB2312" w:eastAsia="仿宋_GB2312"/>
          <w:sz w:val="32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480" w:firstLineChars="150"/>
        <w:textAlignment w:val="baseline"/>
        <w:rPr>
          <w:rFonts w:hint="eastAsia" w:asci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（2）监管</w:t>
      </w:r>
      <w:r>
        <w:rPr>
          <w:rFonts w:hint="eastAsia" w:ascii="仿宋_GB2312" w:hAnsi="仿宋_GB2312" w:eastAsia="仿宋_GB2312"/>
          <w:sz w:val="32"/>
          <w:lang w:eastAsia="zh-CN"/>
        </w:rPr>
        <w:t>工作有待加强。</w:t>
      </w:r>
    </w:p>
    <w:p>
      <w:pPr>
        <w:adjustRightInd w:val="0"/>
        <w:snapToGrid w:val="0"/>
        <w:spacing w:line="360" w:lineRule="auto"/>
        <w:ind w:firstLine="800" w:firstLineChars="2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2、建议：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（1）按照福建省民政厅、财政厅《关于印发〈福建省优抚对象抚恤补助资金使用管理办法〉的通知》（闽财社[2014]25号）的要求，强化责任意识，全面推进优抚资金的规范化建设，落实好动态管理机制。</w:t>
      </w:r>
    </w:p>
    <w:p>
      <w:pPr>
        <w:adjustRightInd w:val="0"/>
        <w:snapToGrid w:val="0"/>
        <w:spacing w:line="360" w:lineRule="auto"/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（2）为了提高抚恤补助资金使用的准确性，</w:t>
      </w:r>
      <w:bookmarkStart w:id="0" w:name="_GoBack"/>
      <w:bookmarkEnd w:id="0"/>
      <w:r>
        <w:rPr>
          <w:rFonts w:hint="eastAsia" w:ascii="仿宋_GB2312" w:eastAsia="仿宋_GB2312"/>
          <w:sz w:val="32"/>
          <w:lang w:eastAsia="zh-CN"/>
        </w:rPr>
        <w:t>要</w:t>
      </w:r>
      <w:r>
        <w:rPr>
          <w:rFonts w:hint="eastAsia" w:ascii="仿宋_GB2312" w:hAnsi="仿宋" w:eastAsia="仿宋_GB2312"/>
          <w:sz w:val="32"/>
        </w:rPr>
        <w:t>进一步完善入户核查机制，提高信息的准确性。</w:t>
      </w:r>
    </w:p>
    <w:p>
      <w:pPr>
        <w:adjustRightInd w:val="0"/>
        <w:snapToGrid w:val="0"/>
        <w:spacing w:line="360" w:lineRule="auto"/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（3）建议加快建立部门之间的信息共享体制，如户籍信息、社保保信息应尽快实现共享。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15A4F"/>
    <w:rsid w:val="11053E39"/>
    <w:rsid w:val="60315A4F"/>
    <w:rsid w:val="6AC8290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2018-09-11T02:43:00Z</dcterms:created>
  <dc:creator>Administrator</dc:creator>
  <cp:lastModifiedBy>Administrator</cp:lastModifiedBy>
  <dcterms:modified xsi:type="dcterms:W3CDTF">2018-09-28T02:58:55Z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