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620" w:lineRule="exact"/>
        <w:ind w:firstLine="883" w:firstLineChars="200"/>
        <w:jc w:val="center"/>
        <w:rPr>
          <w:rFonts w:hint="eastAsia" w:asciiTheme="minorEastAsia" w:hAnsiTheme="minorEastAsia" w:eastAsiaTheme="minorEastAsia" w:cstheme="minorEastAsia"/>
          <w:b/>
          <w:bCs w:val="0"/>
          <w:kern w:val="0"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kern w:val="0"/>
          <w:sz w:val="44"/>
          <w:szCs w:val="44"/>
          <w:lang w:val="en-US" w:eastAsia="zh-CN"/>
        </w:rPr>
        <w:t>2017年福州市无军籍职工地方性津补贴项目绩效自评报告</w:t>
      </w:r>
    </w:p>
    <w:p>
      <w:pPr>
        <w:numPr>
          <w:ilvl w:val="0"/>
          <w:numId w:val="0"/>
        </w:numPr>
        <w:spacing w:line="620" w:lineRule="exact"/>
        <w:ind w:firstLine="643" w:firstLineChars="2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  <w:lang w:eastAsia="zh-CN"/>
        </w:rPr>
        <w:t>一、</w:t>
      </w:r>
      <w:r>
        <w:rPr>
          <w:rFonts w:hint="eastAsia" w:ascii="仿宋" w:hAnsi="仿宋" w:eastAsia="仿宋"/>
          <w:b/>
          <w:kern w:val="0"/>
          <w:sz w:val="32"/>
          <w:szCs w:val="32"/>
        </w:rPr>
        <w:t>项目总体情况</w:t>
      </w:r>
    </w:p>
    <w:p>
      <w:pPr>
        <w:numPr>
          <w:ilvl w:val="0"/>
          <w:numId w:val="0"/>
        </w:numPr>
        <w:spacing w:line="620" w:lineRule="exact"/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kern w:val="0"/>
          <w:sz w:val="32"/>
          <w:szCs w:val="32"/>
          <w:lang w:val="en-US" w:eastAsia="zh-CN"/>
        </w:rPr>
        <w:t xml:space="preserve">    我市现有军队移交政府安置的无军籍退休退职职工815人，2017年省级下达地方性津贴补贴634.34万元，市级配套补助634.34万元，其中榕财社（指）[2016]135号提前下达601.74万元，榕财社（指）[2017]42号下达32.6万元。</w:t>
      </w:r>
    </w:p>
    <w:p>
      <w:pPr>
        <w:spacing w:line="620" w:lineRule="exact"/>
        <w:ind w:firstLine="6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二、项目绩效自评结论（重点阐述部分）</w:t>
      </w:r>
    </w:p>
    <w:p>
      <w:pPr>
        <w:spacing w:line="620" w:lineRule="exact"/>
        <w:ind w:firstLine="6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（一）项目绩效自评得分及等级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</w:rPr>
        <w:t>项目绩效评价得分</w:t>
      </w:r>
      <w:r>
        <w:rPr>
          <w:rFonts w:hint="eastAsia" w:ascii="仿宋_GB2312" w:eastAsia="仿宋_GB2312"/>
          <w:sz w:val="32"/>
          <w:lang w:val="en-US" w:eastAsia="zh-CN"/>
        </w:rPr>
        <w:t>91.13</w:t>
      </w:r>
      <w:r>
        <w:rPr>
          <w:rFonts w:hint="eastAsia" w:ascii="仿宋_GB2312" w:eastAsia="仿宋_GB2312"/>
          <w:sz w:val="32"/>
        </w:rPr>
        <w:t>分，等级为</w:t>
      </w:r>
      <w:r>
        <w:rPr>
          <w:rFonts w:hint="eastAsia" w:ascii="仿宋_GB2312" w:eastAsia="仿宋_GB2312"/>
          <w:sz w:val="32"/>
          <w:lang w:eastAsia="zh-CN"/>
        </w:rPr>
        <w:t>优秀</w:t>
      </w:r>
      <w:r>
        <w:rPr>
          <w:rFonts w:hint="eastAsia" w:ascii="仿宋_GB2312" w:eastAsia="仿宋_GB2312"/>
          <w:sz w:val="32"/>
        </w:rPr>
        <w:t>。</w:t>
      </w:r>
    </w:p>
    <w:p>
      <w:pPr>
        <w:numPr>
          <w:ilvl w:val="0"/>
          <w:numId w:val="1"/>
        </w:num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项目期初绩效目标实现情况分析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年项目设置了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个绩效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第一是时效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标，绩效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标内容是</w:t>
      </w:r>
      <w:r>
        <w:rPr>
          <w:rFonts w:hint="eastAsia" w:ascii="仿宋_GB2312" w:eastAsia="仿宋_GB2312"/>
          <w:sz w:val="32"/>
          <w:lang w:eastAsia="zh-CN"/>
        </w:rPr>
        <w:t>目标完成率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为增编指标，</w:t>
      </w:r>
      <w:r>
        <w:rPr>
          <w:rFonts w:hint="eastAsia" w:ascii="仿宋_GB2312" w:eastAsia="仿宋_GB2312"/>
          <w:sz w:val="32"/>
        </w:rPr>
        <w:t>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完成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</w:rPr>
        <w:t>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完成</w:t>
      </w:r>
      <w:r>
        <w:rPr>
          <w:rFonts w:hint="eastAsia" w:ascii="仿宋_GB2312" w:eastAsia="仿宋_GB2312"/>
          <w:sz w:val="32"/>
          <w:lang w:val="en-US" w:eastAsia="zh-CN"/>
        </w:rPr>
        <w:t>66.67%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 w:eastAsia="仿宋_GB2312"/>
          <w:color w:val="auto"/>
          <w:sz w:val="32"/>
          <w:lang w:eastAsia="zh-CN"/>
        </w:rPr>
        <w:t>指标未实现的原因是：</w:t>
      </w:r>
      <w:r>
        <w:rPr>
          <w:rFonts w:hint="eastAsia" w:ascii="仿宋_GB2312" w:hAnsi="Arial" w:eastAsia="仿宋_GB2312"/>
          <w:b w:val="0"/>
          <w:i w:val="0"/>
          <w:caps w:val="0"/>
          <w:color w:val="000000"/>
          <w:spacing w:val="0"/>
          <w:kern w:val="0"/>
          <w:sz w:val="32"/>
          <w:shd w:val="clear" w:color="auto" w:fill="FFFFFF"/>
          <w:lang w:val="en-US" w:eastAsia="zh-CN"/>
        </w:rPr>
        <w:t>预算执行率为84.58%，未达到95%的指标值</w:t>
      </w:r>
      <w:r>
        <w:rPr>
          <w:rFonts w:hint="eastAsia" w:ascii="仿宋" w:hAnsi="仿宋" w:eastAsia="仿宋"/>
          <w:b w:val="0"/>
          <w:sz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第二是成本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标，绩效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标内容是</w:t>
      </w:r>
      <w:r>
        <w:rPr>
          <w:rFonts w:hint="eastAsia" w:ascii="仿宋_GB2312" w:eastAsia="仿宋_GB2312"/>
          <w:sz w:val="32"/>
          <w:lang w:eastAsia="zh-CN"/>
        </w:rPr>
        <w:t>预算执行率，</w:t>
      </w:r>
      <w:r>
        <w:rPr>
          <w:rFonts w:hint="eastAsia" w:ascii="仿宋_GB2312" w:eastAsia="仿宋_GB2312"/>
          <w:sz w:val="32"/>
        </w:rPr>
        <w:t>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预算执行率为</w:t>
      </w:r>
      <w:r>
        <w:rPr>
          <w:rFonts w:hint="eastAsia" w:ascii="仿宋_GB2312" w:eastAsia="仿宋_GB2312"/>
          <w:sz w:val="32"/>
          <w:lang w:val="en-US" w:eastAsia="zh-CN"/>
        </w:rPr>
        <w:t>95.5%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绩效指标值是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预算执行率不低于</w:t>
      </w:r>
      <w:r>
        <w:rPr>
          <w:rFonts w:hint="eastAsia" w:ascii="仿宋_GB2312" w:eastAsia="仿宋_GB2312"/>
          <w:sz w:val="32"/>
          <w:lang w:val="en-US" w:eastAsia="zh-CN"/>
        </w:rPr>
        <w:t>95%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预算执行率为</w:t>
      </w:r>
      <w:r>
        <w:rPr>
          <w:rFonts w:hint="eastAsia" w:ascii="仿宋_GB2312" w:eastAsia="仿宋_GB2312"/>
          <w:sz w:val="32"/>
          <w:lang w:val="en-US" w:eastAsia="zh-CN"/>
        </w:rPr>
        <w:t>84.58%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 w:eastAsia="仿宋_GB2312"/>
          <w:color w:val="auto"/>
          <w:sz w:val="32"/>
          <w:lang w:eastAsia="zh-CN"/>
        </w:rPr>
        <w:t>指标未实现的原因是：</w:t>
      </w:r>
      <w:r>
        <w:rPr>
          <w:rFonts w:hint="eastAsia" w:ascii="仿宋_GB2312" w:hAnsi="Arial" w:eastAsia="仿宋_GB2312"/>
          <w:b w:val="0"/>
          <w:i w:val="0"/>
          <w:caps w:val="0"/>
          <w:color w:val="000000"/>
          <w:spacing w:val="0"/>
          <w:kern w:val="0"/>
          <w:sz w:val="32"/>
          <w:shd w:val="clear" w:color="auto" w:fill="FFFFFF"/>
          <w:lang w:val="en-US" w:eastAsia="zh-CN"/>
        </w:rPr>
        <w:t>近几年机关事业单位工资调整均为增加基本离退休费，降低津贴补贴，因此地方性津贴补贴支出减少</w:t>
      </w:r>
      <w:r>
        <w:rPr>
          <w:rFonts w:hint="eastAsia" w:ascii="仿宋" w:hAnsi="仿宋" w:eastAsia="仿宋"/>
          <w:b w:val="0"/>
          <w:sz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第三是</w:t>
      </w:r>
      <w:r>
        <w:rPr>
          <w:rFonts w:hint="eastAsia" w:ascii="仿宋_GB2312" w:eastAsia="仿宋_GB2312"/>
          <w:sz w:val="32"/>
        </w:rPr>
        <w:t>数量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标，绩效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标内容是</w:t>
      </w:r>
      <w:r>
        <w:rPr>
          <w:rFonts w:hint="eastAsia" w:ascii="仿宋_GB2312" w:eastAsia="仿宋_GB2312"/>
          <w:sz w:val="32"/>
          <w:lang w:eastAsia="zh-CN"/>
        </w:rPr>
        <w:t>资金下拨准确率，参考标准是</w:t>
      </w:r>
      <w:r>
        <w:rPr>
          <w:rFonts w:hint="eastAsia" w:ascii="仿宋_GB2312" w:eastAsia="仿宋_GB2312"/>
          <w:sz w:val="32"/>
          <w:lang w:val="en-US" w:eastAsia="zh-CN"/>
        </w:rPr>
        <w:t>2016年100%，绩效指标值是2017年100%。实际完成情况是2017年下拨资金准确率为100%。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第四是质量指标，</w:t>
      </w:r>
      <w:r>
        <w:rPr>
          <w:rFonts w:hint="eastAsia" w:ascii="仿宋_GB2312" w:eastAsia="仿宋_GB2312"/>
          <w:sz w:val="32"/>
        </w:rPr>
        <w:t>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标内容是</w:t>
      </w:r>
      <w:r>
        <w:rPr>
          <w:rFonts w:hint="eastAsia" w:ascii="仿宋_GB2312" w:eastAsia="仿宋_GB2312"/>
          <w:sz w:val="32"/>
          <w:lang w:eastAsia="zh-CN"/>
        </w:rPr>
        <w:t>补助县区数</w:t>
      </w:r>
      <w:r>
        <w:rPr>
          <w:rFonts w:hint="eastAsia" w:ascii="仿宋_GB2312" w:eastAsia="仿宋_GB2312"/>
          <w:sz w:val="32"/>
        </w:rPr>
        <w:t>，参考标准是201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lang w:eastAsia="zh-CN"/>
        </w:rPr>
        <w:t>家</w:t>
      </w:r>
      <w:r>
        <w:rPr>
          <w:rFonts w:hint="eastAsia" w:ascii="仿宋_GB2312" w:eastAsia="仿宋_GB2312"/>
          <w:sz w:val="32"/>
        </w:rPr>
        <w:t>，绩效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lang w:eastAsia="zh-CN"/>
        </w:rPr>
        <w:t>家</w:t>
      </w:r>
      <w:r>
        <w:rPr>
          <w:rFonts w:hint="eastAsia" w:ascii="仿宋_GB2312" w:eastAsia="仿宋_GB2312"/>
          <w:sz w:val="32"/>
        </w:rPr>
        <w:t>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年补助</w:t>
      </w:r>
      <w:r>
        <w:rPr>
          <w:rFonts w:hint="eastAsia" w:ascii="仿宋_GB2312" w:eastAsia="仿宋_GB2312"/>
          <w:sz w:val="32"/>
          <w:lang w:val="en-US" w:eastAsia="zh-CN"/>
        </w:rPr>
        <w:t>10家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</w:rPr>
        <w:t>第</w:t>
      </w:r>
      <w:r>
        <w:rPr>
          <w:rFonts w:hint="eastAsia" w:ascii="仿宋_GB2312" w:eastAsia="仿宋_GB2312"/>
          <w:sz w:val="32"/>
          <w:lang w:eastAsia="zh-CN"/>
        </w:rPr>
        <w:t>五</w:t>
      </w:r>
      <w:r>
        <w:rPr>
          <w:rFonts w:hint="eastAsia" w:ascii="仿宋_GB2312" w:eastAsia="仿宋_GB2312"/>
          <w:sz w:val="32"/>
        </w:rPr>
        <w:t>是社会效益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标，绩效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标内容是</w:t>
      </w:r>
      <w:r>
        <w:rPr>
          <w:rFonts w:hint="eastAsia" w:ascii="仿宋_GB2312" w:eastAsia="仿宋_GB2312"/>
          <w:sz w:val="32"/>
          <w:lang w:eastAsia="zh-CN"/>
        </w:rPr>
        <w:t>受益的无军籍职工保障率</w:t>
      </w:r>
      <w:r>
        <w:rPr>
          <w:rFonts w:hint="eastAsia" w:ascii="仿宋_GB2312" w:eastAsia="仿宋_GB2312"/>
          <w:sz w:val="32"/>
        </w:rPr>
        <w:t>，参考标准是201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100%，</w:t>
      </w:r>
      <w:r>
        <w:rPr>
          <w:rFonts w:hint="eastAsia" w:ascii="仿宋_GB2312" w:eastAsia="仿宋_GB2312"/>
          <w:sz w:val="32"/>
        </w:rPr>
        <w:t>绩效</w:t>
      </w:r>
      <w:r>
        <w:rPr>
          <w:rFonts w:hint="eastAsia" w:ascii="仿宋_GB2312" w:eastAsia="仿宋_GB2312"/>
          <w:sz w:val="32"/>
          <w:lang w:eastAsia="zh-CN"/>
        </w:rPr>
        <w:t>指</w:t>
      </w:r>
      <w:r>
        <w:rPr>
          <w:rFonts w:hint="eastAsia" w:ascii="仿宋_GB2312" w:eastAsia="仿宋_GB2312"/>
          <w:sz w:val="32"/>
        </w:rPr>
        <w:t>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年100%。实际完成情况为：201</w:t>
      </w:r>
      <w:r>
        <w:rPr>
          <w:rFonts w:hint="eastAsia" w:ascii="仿宋_GB2312" w:eastAsia="仿宋_GB2312"/>
          <w:sz w:val="32"/>
          <w:lang w:val="en-US" w:eastAsia="zh-CN"/>
        </w:rPr>
        <w:t>7年</w:t>
      </w:r>
      <w:r>
        <w:rPr>
          <w:rFonts w:hint="eastAsia" w:ascii="仿宋_GB2312" w:eastAsia="仿宋_GB2312"/>
          <w:sz w:val="32"/>
        </w:rPr>
        <w:t>100%。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（三）项目实施过程中存在的问题和改进建议</w:t>
      </w:r>
    </w:p>
    <w:p>
      <w:pPr>
        <w:adjustRightInd w:val="0"/>
        <w:snapToGrid w:val="0"/>
        <w:spacing w:line="360" w:lineRule="auto"/>
        <w:ind w:left="64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1、存在问题：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hAns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（1）管理</w:t>
      </w:r>
      <w:r>
        <w:rPr>
          <w:rFonts w:hint="eastAsia" w:ascii="仿宋_GB2312" w:hAnsi="仿宋_GB2312" w:eastAsia="仿宋_GB2312"/>
          <w:sz w:val="32"/>
        </w:rPr>
        <w:t>不够规范化、不够完善</w:t>
      </w:r>
      <w:r>
        <w:rPr>
          <w:rFonts w:hint="eastAsia" w:ascii="仿宋_GB2312" w:hAnsi="仿宋_GB2312" w:eastAsia="仿宋_GB2312"/>
          <w:sz w:val="32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480" w:firstLineChars="150"/>
        <w:textAlignment w:val="baseline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（2）监管</w:t>
      </w:r>
      <w:r>
        <w:rPr>
          <w:rFonts w:hint="eastAsia" w:ascii="仿宋_GB2312" w:hAnsi="仿宋_GB2312" w:eastAsia="仿宋_GB2312"/>
          <w:sz w:val="32"/>
          <w:lang w:eastAsia="zh-CN"/>
        </w:rPr>
        <w:t>工作有待加强。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</w:rPr>
        <w:t>2、建议：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（1）强化责任意识，全面推进规范化建设，落实好动态管理机制。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（2）</w:t>
      </w:r>
      <w:r>
        <w:rPr>
          <w:rFonts w:hint="eastAsia" w:ascii="仿宋_GB2312" w:eastAsia="仿宋_GB2312"/>
          <w:sz w:val="32"/>
          <w:lang w:eastAsia="zh-CN"/>
        </w:rPr>
        <w:t>要</w:t>
      </w:r>
      <w:r>
        <w:rPr>
          <w:rFonts w:hint="eastAsia" w:ascii="仿宋_GB2312" w:hAnsi="仿宋" w:eastAsia="仿宋_GB2312"/>
          <w:sz w:val="32"/>
        </w:rPr>
        <w:t>进一步完善入户核查机制，提高信息的准确性。</w:t>
      </w:r>
    </w:p>
    <w:p>
      <w:pPr>
        <w:adjustRightInd w:val="0"/>
        <w:snapToGrid w:val="0"/>
        <w:spacing w:line="360" w:lineRule="auto"/>
        <w:ind w:firstLine="480" w:firstLineChars="15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（3）建议加快建立部门之间的信息共享体制，如户籍信息、社保保信息应尽快实现共享。</w:t>
      </w:r>
    </w:p>
    <w:p/>
    <w:p>
      <w:pPr>
        <w:numPr>
          <w:ilvl w:val="0"/>
          <w:numId w:val="0"/>
        </w:numPr>
        <w:spacing w:line="620" w:lineRule="exact"/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604F1"/>
    <w:multiLevelType w:val="singleLevel"/>
    <w:tmpl w:val="5B8604F1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91CA9"/>
    <w:rsid w:val="26316E13"/>
    <w:rsid w:val="462B4B1F"/>
    <w:rsid w:val="5C291CA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2018-09-11T02:44:00Z</dcterms:created>
  <dc:creator>Administrator</dc:creator>
  <cp:lastModifiedBy>Administrator</cp:lastModifiedBy>
  <dcterms:modified xsi:type="dcterms:W3CDTF">2018-09-28T03:01:33Z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