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简体" w:eastAsia="方正小标宋简体" w:cs="方正小标宋简体"/>
          <w:sz w:val="44"/>
          <w:lang w:eastAsia="zh-CN"/>
        </w:rPr>
      </w:pPr>
      <w:r>
        <w:rPr>
          <w:rFonts w:hint="eastAsia" w:ascii="方正小标宋简体" w:hAnsi="方正小标宋简体" w:eastAsia="方正小标宋简体" w:cs="方正小标宋简体"/>
          <w:sz w:val="44"/>
        </w:rPr>
        <w:t>2017年福州市自然灾害生活救助资金</w:t>
      </w:r>
      <w:r>
        <w:rPr>
          <w:rFonts w:hint="eastAsia" w:ascii="方正小标宋简体" w:hAnsi="方正小标宋简体" w:eastAsia="方正小标宋简体" w:cs="方正小标宋简体"/>
          <w:sz w:val="44"/>
          <w:lang w:eastAsia="zh-CN"/>
        </w:rPr>
        <w:t>项目</w:t>
      </w:r>
      <w:bookmarkStart w:id="0" w:name="_GoBack"/>
      <w:bookmarkEnd w:id="0"/>
    </w:p>
    <w:p>
      <w:pPr>
        <w:spacing w:line="560" w:lineRule="exact"/>
        <w:jc w:val="center"/>
        <w:rPr>
          <w:rFonts w:hint="eastAsia" w:ascii="方正小标宋简体" w:hAnsi="方正小标宋简体" w:eastAsia="方正小标宋简体" w:cs="方正小标宋简体"/>
          <w:sz w:val="44"/>
        </w:rPr>
      </w:pPr>
      <w:r>
        <w:rPr>
          <w:rFonts w:hint="eastAsia" w:ascii="方正小标宋简体" w:hAnsi="方正小标宋简体" w:eastAsia="方正小标宋简体" w:cs="方正小标宋简体"/>
          <w:sz w:val="44"/>
        </w:rPr>
        <w:t>绩效自评报告</w:t>
      </w:r>
    </w:p>
    <w:p>
      <w:pPr>
        <w:tabs>
          <w:tab w:val="left" w:pos="5985"/>
        </w:tabs>
        <w:ind w:firstLine="640" w:firstLineChars="200"/>
        <w:rPr>
          <w:rFonts w:hint="eastAsia" w:ascii="黑体" w:eastAsia="黑体"/>
          <w:sz w:val="32"/>
        </w:rPr>
      </w:pPr>
    </w:p>
    <w:p>
      <w:pPr>
        <w:spacing w:line="560" w:lineRule="exact"/>
        <w:rPr>
          <w:rFonts w:hint="eastAsia" w:ascii="黑体" w:hAnsi="宋体" w:eastAsia="黑体"/>
          <w:sz w:val="32"/>
        </w:rPr>
      </w:pPr>
      <w:r>
        <w:rPr>
          <w:rFonts w:hint="eastAsia" w:ascii="黑体" w:hAnsi="宋体" w:eastAsia="黑体"/>
          <w:sz w:val="32"/>
        </w:rPr>
        <w:t xml:space="preserve">    一、项目总体情况</w:t>
      </w:r>
    </w:p>
    <w:p>
      <w:pPr>
        <w:spacing w:line="560" w:lineRule="exact"/>
        <w:ind w:firstLine="640" w:firstLineChars="200"/>
        <w:rPr>
          <w:rFonts w:hint="eastAsia" w:ascii="仿宋_GB2312" w:hAnsi="宋体" w:eastAsia="仿宋_GB2312"/>
          <w:sz w:val="32"/>
        </w:rPr>
      </w:pPr>
      <w:r>
        <w:rPr>
          <w:rFonts w:hint="eastAsia" w:ascii="仿宋_GB2312" w:hAnsi="仿宋_GB2312" w:eastAsia="仿宋_GB2312"/>
          <w:sz w:val="32"/>
        </w:rPr>
        <w:t>我市救灾工作以党的十八大及十八届三中、四中、五中、六中全会精神及党的十九大精神为指导，以“十三五”规划为引领，稳中求进。认真落实《福州市人民政府办公厅关于印发福州市政策性农村住房保险实施方案的通知》精神，做好防灾减灾工作，切实保障人民群众生命财产安全。</w:t>
      </w:r>
      <w:r>
        <w:rPr>
          <w:rFonts w:hint="eastAsia" w:ascii="仿宋_GB2312" w:hAnsi="宋体" w:eastAsia="仿宋_GB2312"/>
          <w:sz w:val="32"/>
        </w:rPr>
        <w:t>全年市级</w:t>
      </w:r>
      <w:r>
        <w:rPr>
          <w:rFonts w:hint="eastAsia" w:ascii="仿宋_GB2312" w:eastAsia="仿宋_GB2312"/>
          <w:sz w:val="32"/>
          <w:szCs w:val="32"/>
        </w:rPr>
        <w:t>自然灾害生活救助资金使用</w:t>
      </w:r>
      <w:r>
        <w:rPr>
          <w:rFonts w:hint="eastAsia" w:ascii="仿宋_GB2312" w:hAnsi="宋体" w:eastAsia="仿宋_GB2312"/>
          <w:sz w:val="32"/>
        </w:rPr>
        <w:t>总体情况如下：</w:t>
      </w:r>
      <w:r>
        <w:rPr>
          <w:rFonts w:hint="eastAsia" w:ascii="仿宋_GB2312" w:hAnsi="仿宋_GB2312" w:eastAsia="仿宋_GB2312"/>
          <w:sz w:val="32"/>
        </w:rPr>
        <w:t>2017年，市级财政投入</w:t>
      </w:r>
      <w:r>
        <w:rPr>
          <w:rFonts w:hint="eastAsia" w:ascii="仿宋_GB2312" w:eastAsia="仿宋_GB2312"/>
          <w:sz w:val="32"/>
          <w:szCs w:val="32"/>
        </w:rPr>
        <w:t>自然灾害生活救助资金200万元</w:t>
      </w:r>
      <w:r>
        <w:rPr>
          <w:rFonts w:hint="eastAsia" w:ascii="仿宋_GB2312" w:hAnsi="仿宋_GB2312" w:eastAsia="仿宋_GB2312"/>
          <w:sz w:val="32"/>
        </w:rPr>
        <w:t>，用于政策性农村住房保险支出89.99万元。</w:t>
      </w:r>
    </w:p>
    <w:p>
      <w:pPr>
        <w:spacing w:line="560" w:lineRule="exact"/>
        <w:rPr>
          <w:rFonts w:hint="eastAsia" w:ascii="仿宋_GB2312" w:eastAsia="仿宋_GB2312"/>
          <w:bCs/>
          <w:sz w:val="32"/>
        </w:rPr>
      </w:pPr>
      <w:r>
        <w:rPr>
          <w:rFonts w:hint="eastAsia" w:ascii="仿宋_GB2312" w:eastAsia="仿宋_GB2312"/>
          <w:b/>
          <w:sz w:val="32"/>
        </w:rPr>
        <w:t xml:space="preserve">  </w:t>
      </w:r>
      <w:r>
        <w:rPr>
          <w:rFonts w:hint="eastAsia" w:ascii="仿宋_GB2312" w:eastAsia="仿宋_GB2312"/>
          <w:bCs/>
          <w:sz w:val="32"/>
        </w:rPr>
        <w:t xml:space="preserve"> </w:t>
      </w:r>
      <w:r>
        <w:rPr>
          <w:rFonts w:hint="eastAsia" w:ascii="仿宋_GB2312" w:eastAsia="仿宋_GB2312"/>
          <w:b/>
          <w:sz w:val="32"/>
        </w:rPr>
        <w:t xml:space="preserve"> </w:t>
      </w:r>
      <w:r>
        <w:rPr>
          <w:rFonts w:hint="eastAsia" w:ascii="仿宋_GB2312" w:eastAsia="仿宋_GB2312"/>
          <w:bCs/>
          <w:sz w:val="32"/>
        </w:rPr>
        <w:t>项目的实施依据、基本性质、用途和主要内容、涉及范围、预期投入情况及实施后达成的主要效益</w:t>
      </w:r>
    </w:p>
    <w:p>
      <w:pPr>
        <w:spacing w:line="560" w:lineRule="exact"/>
        <w:ind w:firstLine="640" w:firstLineChars="200"/>
        <w:rPr>
          <w:rFonts w:hint="eastAsia" w:ascii="楷体" w:hAnsi="楷体" w:eastAsia="楷体" w:cs="楷体"/>
          <w:bCs/>
          <w:sz w:val="32"/>
        </w:rPr>
      </w:pPr>
      <w:r>
        <w:rPr>
          <w:rFonts w:hint="eastAsia" w:ascii="楷体" w:hAnsi="楷体" w:eastAsia="楷体" w:cs="楷体"/>
          <w:bCs/>
          <w:sz w:val="32"/>
        </w:rPr>
        <w:t>（一）项目的实施依据：</w:t>
      </w:r>
    </w:p>
    <w:p>
      <w:pPr>
        <w:spacing w:line="560" w:lineRule="exact"/>
        <w:ind w:firstLine="640" w:firstLineChars="200"/>
        <w:rPr>
          <w:rFonts w:hint="eastAsia" w:ascii="仿宋_GB2312" w:hAnsi="宋体" w:eastAsia="仿宋_GB2312"/>
          <w:sz w:val="32"/>
        </w:rPr>
      </w:pPr>
      <w:r>
        <w:rPr>
          <w:rFonts w:hint="eastAsia" w:ascii="仿宋_GB2312" w:eastAsia="仿宋_GB2312"/>
          <w:sz w:val="32"/>
        </w:rPr>
        <w:t>根据</w:t>
      </w:r>
      <w:r>
        <w:rPr>
          <w:rFonts w:hint="eastAsia" w:ascii="仿宋_GB2312" w:hAnsi="仿宋_GB2312" w:eastAsia="仿宋_GB2312"/>
          <w:sz w:val="32"/>
        </w:rPr>
        <w:t>《福州市人民政府办公厅关于印发福州市政策性农村住房保险实施方案的通知》</w:t>
      </w:r>
      <w:r>
        <w:rPr>
          <w:rFonts w:hint="eastAsia" w:ascii="仿宋_GB2312" w:eastAsia="仿宋_GB2312"/>
          <w:sz w:val="32"/>
        </w:rPr>
        <w:t>（榕政办</w:t>
      </w:r>
      <w:r>
        <w:rPr>
          <w:rFonts w:hint="eastAsia" w:ascii="仿宋_GB2312" w:hAnsi="宋体" w:eastAsia="仿宋_GB2312"/>
          <w:sz w:val="32"/>
        </w:rPr>
        <w:t>〔2017〕30号</w:t>
      </w:r>
      <w:r>
        <w:rPr>
          <w:rFonts w:hint="eastAsia" w:ascii="仿宋_GB2312" w:eastAsia="仿宋_GB2312"/>
          <w:sz w:val="32"/>
        </w:rPr>
        <w:t>）的规定，开展农村住房保险是服务“三农”、精准扶贫的重大举措，是完善农村社会保障体系的重要手段，事关受灾群众切身利益。以“政府主导、财政扶持、市场动作、自愿参保”为原则，以“三者兼顾、两低一保”为基础，逐步完善农村住房保险政策措施。财政补贴保费根据实际参保户数由各级财政支付。因此，市级财政每年预算200万元用于</w:t>
      </w:r>
      <w:r>
        <w:rPr>
          <w:rFonts w:hint="eastAsia" w:ascii="仿宋_GB2312" w:eastAsia="仿宋_GB2312"/>
          <w:sz w:val="32"/>
          <w:szCs w:val="32"/>
        </w:rPr>
        <w:t>自然灾害生活救助，我局及时拨付89.99万元给人保财险公司作为2017年政策性农村住房保险市级财政补贴保费。</w:t>
      </w:r>
    </w:p>
    <w:p>
      <w:pPr>
        <w:spacing w:line="560" w:lineRule="exact"/>
        <w:ind w:firstLine="640" w:firstLineChars="200"/>
        <w:rPr>
          <w:rFonts w:hint="eastAsia" w:ascii="楷体" w:hAnsi="楷体" w:eastAsia="楷体" w:cs="楷体"/>
          <w:bCs/>
          <w:sz w:val="32"/>
        </w:rPr>
      </w:pPr>
      <w:r>
        <w:rPr>
          <w:rFonts w:hint="eastAsia" w:ascii="楷体" w:hAnsi="楷体" w:eastAsia="楷体" w:cs="楷体"/>
          <w:bCs/>
          <w:sz w:val="32"/>
        </w:rPr>
        <w:t>（二）项目性质、基本用途和主要内容、涉及范围：</w:t>
      </w:r>
    </w:p>
    <w:p>
      <w:pPr>
        <w:spacing w:line="560" w:lineRule="exact"/>
        <w:ind w:firstLine="640" w:firstLineChars="200"/>
        <w:rPr>
          <w:rFonts w:hint="eastAsia" w:ascii="仿宋_GB2312" w:hAnsi="仿宋_GB2312" w:eastAsia="仿宋_GB2312"/>
          <w:sz w:val="32"/>
        </w:rPr>
      </w:pPr>
      <w:r>
        <w:rPr>
          <w:rStyle w:val="4"/>
          <w:rFonts w:hint="eastAsia" w:ascii="仿宋_GB2312" w:hAnsi="仿宋_GB2312" w:eastAsia="仿宋_GB2312"/>
          <w:bCs/>
          <w:sz w:val="32"/>
        </w:rPr>
        <w:t>自然灾害生活救助资金其中部分用于</w:t>
      </w:r>
      <w:r>
        <w:rPr>
          <w:rFonts w:hint="eastAsia" w:ascii="仿宋_GB2312" w:eastAsia="仿宋_GB2312"/>
          <w:sz w:val="32"/>
          <w:szCs w:val="32"/>
        </w:rPr>
        <w:t>政策性农村住房保险市级财政补贴保费，</w:t>
      </w:r>
      <w:r>
        <w:rPr>
          <w:rStyle w:val="4"/>
          <w:rFonts w:hint="eastAsia" w:ascii="仿宋_GB2312" w:hAnsi="仿宋_GB2312" w:eastAsia="仿宋_GB2312"/>
          <w:bCs/>
          <w:sz w:val="32"/>
        </w:rPr>
        <w:t>是指由以服务“三农”为宗旨，</w:t>
      </w:r>
      <w:r>
        <w:rPr>
          <w:rFonts w:hint="eastAsia" w:ascii="仿宋_GB2312" w:eastAsia="仿宋_GB2312"/>
          <w:sz w:val="32"/>
        </w:rPr>
        <w:t>以“政府主导、财政扶持、市场动作、自愿参保”为原则，以“三者兼顾、两低一保”为基础，逐步完善农村住房保险政策措施，最大限度保障我市受灾群众基本利益。</w:t>
      </w:r>
      <w:r>
        <w:rPr>
          <w:rFonts w:hint="eastAsia" w:ascii="仿宋_GB2312" w:hAnsi="仿宋_GB2312" w:eastAsia="仿宋_GB2312"/>
          <w:sz w:val="32"/>
        </w:rPr>
        <w:t>下列条件之 一者属于保险对象：</w:t>
      </w:r>
    </w:p>
    <w:p>
      <w:pPr>
        <w:spacing w:line="560" w:lineRule="exact"/>
        <w:ind w:firstLine="640" w:firstLineChars="200"/>
        <w:rPr>
          <w:rFonts w:hint="eastAsia" w:ascii="仿宋_GB2312" w:hAnsi="仿宋_GB2312" w:eastAsia="仿宋_GB2312"/>
          <w:sz w:val="32"/>
        </w:rPr>
      </w:pPr>
      <w:r>
        <w:rPr>
          <w:rFonts w:hint="eastAsia" w:ascii="仿宋_GB2312" w:hAnsi="仿宋_GB2312" w:eastAsia="仿宋_GB2312"/>
          <w:sz w:val="32"/>
        </w:rPr>
        <w:t>1.坐落在我市乡镇（街道）或村（居），且户主拥有受灾所在县域范围内农村户籍的农房，不论其是否长期居住。但同一户主拥有多座房屋的，仅承保其户籍地其中一处房屋的灾害损失；一处房屋有多个户主的，以户为保险对象。</w:t>
      </w:r>
    </w:p>
    <w:p>
      <w:pPr>
        <w:spacing w:line="560" w:lineRule="exact"/>
        <w:ind w:firstLine="640" w:firstLineChars="200"/>
        <w:rPr>
          <w:rFonts w:hint="eastAsia" w:ascii="仿宋_GB2312" w:hAnsi="仿宋_GB2312" w:eastAsia="仿宋_GB2312"/>
          <w:sz w:val="32"/>
        </w:rPr>
      </w:pPr>
      <w:r>
        <w:rPr>
          <w:rFonts w:hint="eastAsia" w:ascii="仿宋_GB2312" w:hAnsi="仿宋_GB2312" w:eastAsia="仿宋_GB2312"/>
          <w:sz w:val="32"/>
        </w:rPr>
        <w:t>2.长期居住在行政村的库区移民或因政策原因失地而转入非农户（含享受新型农村合作医疗政策其他农转非户）的农房。</w:t>
      </w:r>
    </w:p>
    <w:p>
      <w:pPr>
        <w:spacing w:line="560" w:lineRule="exact"/>
        <w:ind w:firstLine="640" w:firstLineChars="200"/>
        <w:rPr>
          <w:rFonts w:hint="eastAsia" w:ascii="楷体" w:hAnsi="楷体" w:eastAsia="楷体" w:cs="楷体"/>
          <w:bCs/>
          <w:sz w:val="32"/>
        </w:rPr>
      </w:pPr>
      <w:r>
        <w:rPr>
          <w:rFonts w:hint="eastAsia" w:ascii="楷体" w:hAnsi="楷体" w:eastAsia="楷体" w:cs="楷体"/>
          <w:bCs/>
          <w:sz w:val="32"/>
        </w:rPr>
        <w:t>（三）预期投入情况及实施后达成的主要效益：</w:t>
      </w:r>
    </w:p>
    <w:p>
      <w:pPr>
        <w:spacing w:line="560" w:lineRule="exact"/>
        <w:ind w:firstLine="640" w:firstLineChars="200"/>
        <w:rPr>
          <w:rFonts w:hint="eastAsia" w:ascii="仿宋_GB2312" w:eastAsia="仿宋_GB2312"/>
          <w:sz w:val="32"/>
        </w:rPr>
      </w:pPr>
      <w:r>
        <w:rPr>
          <w:rFonts w:hint="eastAsia" w:ascii="仿宋_GB2312" w:eastAsia="仿宋_GB2312"/>
          <w:bCs/>
          <w:sz w:val="32"/>
        </w:rPr>
        <w:t>2017</w:t>
      </w:r>
      <w:r>
        <w:rPr>
          <w:rFonts w:hint="eastAsia" w:ascii="仿宋_GB2312" w:eastAsia="仿宋_GB2312"/>
          <w:sz w:val="32"/>
        </w:rPr>
        <w:t>年，市级财政共投入了89.99万元，同时，设置了预算执行率、资金支付保险公司、下拨资金准确率、灾民救助覆盖面、理赔率等5个绩效目标。通过市级补助资金及时到位，各县（市）区资金也落实到位，圆满完成了年初绩效目标，实现了很好的社会效益。</w:t>
      </w:r>
    </w:p>
    <w:p>
      <w:pPr>
        <w:spacing w:line="560" w:lineRule="exact"/>
        <w:ind w:firstLine="640" w:firstLineChars="200"/>
        <w:rPr>
          <w:rFonts w:hint="eastAsia" w:ascii="黑体" w:hAnsi="黑体" w:eastAsia="黑体"/>
          <w:sz w:val="32"/>
        </w:rPr>
      </w:pPr>
      <w:r>
        <w:rPr>
          <w:rFonts w:hint="eastAsia" w:ascii="黑体" w:hAnsi="黑体" w:eastAsia="黑体"/>
          <w:sz w:val="32"/>
        </w:rPr>
        <w:t>二、项目绩效自评结论</w:t>
      </w:r>
    </w:p>
    <w:p>
      <w:pPr>
        <w:spacing w:line="560" w:lineRule="exact"/>
        <w:ind w:firstLine="640" w:firstLineChars="200"/>
        <w:rPr>
          <w:rFonts w:hint="eastAsia" w:ascii="楷体" w:hAnsi="楷体" w:eastAsia="楷体" w:cs="楷体"/>
          <w:bCs/>
          <w:sz w:val="32"/>
        </w:rPr>
      </w:pPr>
      <w:r>
        <w:rPr>
          <w:rFonts w:hint="eastAsia" w:ascii="楷体" w:hAnsi="楷体" w:eastAsia="楷体" w:cs="楷体"/>
          <w:bCs/>
          <w:sz w:val="32"/>
        </w:rPr>
        <w:t>（一）项目绩效自评得分及等级</w:t>
      </w:r>
    </w:p>
    <w:p>
      <w:pPr>
        <w:spacing w:line="560" w:lineRule="exact"/>
        <w:ind w:firstLine="640" w:firstLineChars="200"/>
        <w:rPr>
          <w:rFonts w:hint="eastAsia" w:ascii="仿宋_GB2312" w:eastAsia="仿宋_GB2312"/>
          <w:b/>
          <w:sz w:val="32"/>
        </w:rPr>
      </w:pPr>
      <w:r>
        <w:rPr>
          <w:rFonts w:hint="eastAsia" w:ascii="仿宋_GB2312" w:eastAsia="仿宋_GB2312"/>
          <w:sz w:val="32"/>
        </w:rPr>
        <w:t>项目绩效评价得分89.5分，等级为良好。</w:t>
      </w:r>
    </w:p>
    <w:p>
      <w:pPr>
        <w:spacing w:line="560" w:lineRule="exact"/>
        <w:ind w:firstLine="640" w:firstLineChars="200"/>
        <w:rPr>
          <w:rFonts w:hint="eastAsia" w:ascii="楷体" w:hAnsi="楷体" w:eastAsia="楷体" w:cs="楷体"/>
          <w:bCs/>
          <w:sz w:val="32"/>
        </w:rPr>
      </w:pPr>
      <w:r>
        <w:rPr>
          <w:rFonts w:hint="eastAsia" w:ascii="楷体" w:hAnsi="楷体" w:eastAsia="楷体" w:cs="楷体"/>
          <w:bCs/>
          <w:sz w:val="32"/>
        </w:rPr>
        <w:t xml:space="preserve">（二）项目绩效目标实现情况分析 </w:t>
      </w:r>
    </w:p>
    <w:p>
      <w:pPr>
        <w:spacing w:line="560" w:lineRule="exact"/>
        <w:rPr>
          <w:rFonts w:hint="eastAsia" w:ascii="仿宋_GB2312" w:eastAsia="仿宋_GB2312"/>
          <w:sz w:val="32"/>
        </w:rPr>
      </w:pPr>
      <w:r>
        <w:rPr>
          <w:rFonts w:hint="eastAsia" w:ascii="仿宋_GB2312" w:eastAsia="仿宋_GB2312"/>
          <w:sz w:val="32"/>
        </w:rPr>
        <w:t xml:space="preserve">     2017年项目设置了5个绩效目标，其中：</w:t>
      </w:r>
    </w:p>
    <w:p>
      <w:pPr>
        <w:spacing w:line="560" w:lineRule="exact"/>
        <w:ind w:firstLine="640" w:firstLineChars="200"/>
        <w:rPr>
          <w:rFonts w:hint="eastAsia" w:ascii="仿宋_GB2312" w:eastAsia="仿宋_GB2312"/>
          <w:sz w:val="32"/>
        </w:rPr>
      </w:pPr>
      <w:r>
        <w:rPr>
          <w:rFonts w:hint="eastAsia" w:ascii="仿宋_GB2312" w:eastAsia="仿宋_GB2312"/>
          <w:sz w:val="32"/>
        </w:rPr>
        <w:t>第一是成本目标，绩效目标内容是预算执行率，绩效目标值是2017年不低于95%。实际完成情况为：2017年完成45%。目标完成率47.4%</w:t>
      </w:r>
      <w:r>
        <w:rPr>
          <w:rFonts w:hint="eastAsia" w:ascii="仿宋" w:hAnsi="仿宋" w:eastAsia="仿宋"/>
          <w:sz w:val="32"/>
        </w:rPr>
        <w:t>。</w:t>
      </w:r>
    </w:p>
    <w:p>
      <w:pPr>
        <w:spacing w:line="560" w:lineRule="exact"/>
        <w:ind w:firstLine="640" w:firstLineChars="200"/>
        <w:rPr>
          <w:rFonts w:hint="eastAsia" w:ascii="仿宋_GB2312" w:eastAsia="仿宋_GB2312"/>
          <w:sz w:val="32"/>
        </w:rPr>
      </w:pPr>
      <w:r>
        <w:rPr>
          <w:rFonts w:hint="eastAsia" w:ascii="仿宋_GB2312" w:eastAsia="仿宋_GB2312"/>
          <w:sz w:val="32"/>
        </w:rPr>
        <w:t>第二是数量目标，绩效目标内容是资金支付保险公司，绩效目标值是2017年1家人保财险榕城分公司，实际完成情况为：2017年1家。预算完成率100%</w:t>
      </w:r>
      <w:r>
        <w:rPr>
          <w:rFonts w:hint="eastAsia" w:ascii="仿宋" w:hAnsi="仿宋" w:eastAsia="仿宋"/>
          <w:sz w:val="32"/>
        </w:rPr>
        <w:t>。</w:t>
      </w:r>
    </w:p>
    <w:p>
      <w:pPr>
        <w:spacing w:line="560" w:lineRule="exact"/>
        <w:ind w:firstLine="640" w:firstLineChars="200"/>
        <w:rPr>
          <w:rFonts w:hint="eastAsia" w:ascii="仿宋_GB2312" w:eastAsia="仿宋_GB2312"/>
          <w:sz w:val="32"/>
        </w:rPr>
      </w:pPr>
      <w:r>
        <w:rPr>
          <w:rFonts w:hint="eastAsia" w:ascii="仿宋_GB2312" w:eastAsia="仿宋_GB2312"/>
          <w:sz w:val="32"/>
        </w:rPr>
        <w:t>第三是质量目标，绩效目标内容是下拨资金准确率，绩效目标值是2017年不低于95%。实际完成情况为：2017年100%，完成比例105.3%。</w:t>
      </w:r>
    </w:p>
    <w:p>
      <w:pPr>
        <w:spacing w:line="560" w:lineRule="exact"/>
        <w:ind w:firstLine="640" w:firstLineChars="200"/>
        <w:rPr>
          <w:rFonts w:hint="eastAsia" w:ascii="仿宋_GB2312" w:eastAsia="仿宋_GB2312"/>
          <w:sz w:val="32"/>
        </w:rPr>
      </w:pPr>
      <w:r>
        <w:rPr>
          <w:rFonts w:hint="eastAsia" w:ascii="仿宋_GB2312" w:eastAsia="仿宋_GB2312"/>
          <w:sz w:val="32"/>
        </w:rPr>
        <w:t>第四是社会效益目标，绩效目标内容是灾民救助覆盖面，绩效目标值是2017年不低于95%。实际完成情况是100%，完成比例105.3%。</w:t>
      </w:r>
    </w:p>
    <w:p>
      <w:pPr>
        <w:spacing w:line="560" w:lineRule="exact"/>
        <w:ind w:firstLine="640" w:firstLineChars="200"/>
        <w:rPr>
          <w:rFonts w:hint="eastAsia" w:ascii="仿宋_GB2312" w:eastAsia="仿宋_GB2312"/>
          <w:sz w:val="32"/>
        </w:rPr>
      </w:pPr>
      <w:r>
        <w:rPr>
          <w:rFonts w:hint="eastAsia" w:ascii="仿宋_GB2312" w:eastAsia="仿宋_GB2312"/>
          <w:sz w:val="32"/>
        </w:rPr>
        <w:t>第五是社会效益目标，绩效目标内容是理赔率，绩效目标值是符合理赔条件的给予100%的理赔。实际完成情况为：100%（1611人/1611人）。</w:t>
      </w:r>
    </w:p>
    <w:p>
      <w:pPr>
        <w:spacing w:line="560" w:lineRule="exact"/>
        <w:ind w:firstLine="640" w:firstLineChars="200"/>
        <w:rPr>
          <w:rFonts w:hint="eastAsia" w:ascii="楷体" w:hAnsi="楷体" w:eastAsia="楷体" w:cs="楷体"/>
          <w:bCs/>
          <w:color w:val="000000"/>
          <w:kern w:val="0"/>
          <w:sz w:val="32"/>
        </w:rPr>
      </w:pPr>
      <w:r>
        <w:rPr>
          <w:rFonts w:hint="eastAsia" w:ascii="楷体" w:hAnsi="楷体" w:eastAsia="楷体" w:cs="楷体"/>
          <w:bCs/>
          <w:color w:val="000000"/>
          <w:kern w:val="0"/>
          <w:sz w:val="32"/>
        </w:rPr>
        <w:t>（三）项目实施中存在的问题和改进建议</w:t>
      </w:r>
    </w:p>
    <w:p>
      <w:pPr>
        <w:spacing w:line="560" w:lineRule="exact"/>
        <w:ind w:left="640"/>
        <w:rPr>
          <w:rFonts w:hint="eastAsia" w:ascii="仿宋_GB2312" w:eastAsia="仿宋_GB2312"/>
          <w:sz w:val="32"/>
        </w:rPr>
      </w:pPr>
      <w:r>
        <w:rPr>
          <w:rFonts w:hint="eastAsia" w:ascii="仿宋_GB2312" w:eastAsia="仿宋_GB2312"/>
          <w:sz w:val="32"/>
        </w:rPr>
        <w:t>存在问题：</w:t>
      </w:r>
    </w:p>
    <w:p>
      <w:pPr>
        <w:spacing w:line="560" w:lineRule="exact"/>
        <w:ind w:firstLine="640" w:firstLineChars="200"/>
        <w:rPr>
          <w:rFonts w:hint="eastAsia" w:ascii="仿宋_GB2312" w:hAnsi="仿宋_GB2312" w:eastAsia="仿宋_GB2312"/>
          <w:sz w:val="32"/>
        </w:rPr>
      </w:pPr>
      <w:r>
        <w:rPr>
          <w:rFonts w:hint="eastAsia" w:ascii="仿宋_GB2312" w:eastAsia="仿宋_GB2312"/>
          <w:sz w:val="32"/>
        </w:rPr>
        <w:t>1、由于户籍制度改革，非农户与农户界定存在困难</w:t>
      </w:r>
      <w:r>
        <w:rPr>
          <w:rFonts w:hint="eastAsia" w:ascii="仿宋_GB2312" w:hAnsi="仿宋_GB2312" w:eastAsia="仿宋_GB2312"/>
          <w:sz w:val="32"/>
        </w:rPr>
        <w:t>。</w:t>
      </w:r>
    </w:p>
    <w:p>
      <w:pPr>
        <w:spacing w:line="560" w:lineRule="exact"/>
        <w:ind w:firstLine="645"/>
        <w:textAlignment w:val="baseline"/>
        <w:rPr>
          <w:rFonts w:hint="eastAsia" w:ascii="仿宋_GB2312" w:eastAsia="仿宋_GB2312"/>
          <w:sz w:val="32"/>
        </w:rPr>
      </w:pPr>
      <w:r>
        <w:rPr>
          <w:rFonts w:hint="eastAsia" w:ascii="仿宋_GB2312" w:hAnsi="仿宋_GB2312" w:eastAsia="仿宋_GB2312"/>
          <w:sz w:val="32"/>
        </w:rPr>
        <w:t>2、城区征迁多，木结构或土木结构农房越来越少，群众参保意愿不高。</w:t>
      </w:r>
    </w:p>
    <w:p>
      <w:pPr>
        <w:spacing w:line="560" w:lineRule="exact"/>
        <w:ind w:firstLine="640" w:firstLineChars="200"/>
        <w:rPr>
          <w:rFonts w:hint="eastAsia" w:ascii="仿宋_GB2312" w:eastAsia="仿宋_GB2312"/>
          <w:sz w:val="32"/>
        </w:rPr>
      </w:pPr>
      <w:r>
        <w:rPr>
          <w:rFonts w:hint="eastAsia" w:ascii="仿宋_GB2312" w:eastAsia="仿宋_GB2312"/>
          <w:sz w:val="32"/>
        </w:rPr>
        <w:t>建议：</w:t>
      </w:r>
    </w:p>
    <w:p>
      <w:pPr>
        <w:numPr>
          <w:ilvl w:val="0"/>
          <w:numId w:val="1"/>
        </w:numPr>
        <w:spacing w:line="560" w:lineRule="exact"/>
        <w:ind w:firstLine="640" w:firstLineChars="200"/>
        <w:rPr>
          <w:rFonts w:hint="eastAsia" w:ascii="仿宋_GB2312" w:eastAsia="仿宋_GB2312"/>
          <w:sz w:val="32"/>
        </w:rPr>
      </w:pPr>
      <w:r>
        <w:rPr>
          <w:rFonts w:hint="eastAsia" w:ascii="仿宋_GB2312" w:hAnsi="仿宋_GB2312" w:eastAsia="仿宋_GB2312"/>
          <w:sz w:val="32"/>
        </w:rPr>
        <w:t>城区根据农户居住的农房结构决定是否动员农户参保，如果已居住在框架结构的楼房，可不必动员参保；如果居住在木结构或土木结构的房屋，要动员参保。因此，不以农户计算参保覆盖率。</w:t>
      </w:r>
    </w:p>
    <w:p>
      <w:pPr>
        <w:numPr>
          <w:ilvl w:val="0"/>
          <w:numId w:val="1"/>
        </w:numPr>
        <w:spacing w:line="560" w:lineRule="exact"/>
        <w:ind w:firstLine="640" w:firstLineChars="200"/>
        <w:rPr>
          <w:rFonts w:hint="eastAsia" w:ascii="仿宋_GB2312" w:eastAsia="仿宋_GB2312"/>
          <w:sz w:val="32"/>
        </w:rPr>
      </w:pPr>
      <w:r>
        <w:rPr>
          <w:rFonts w:hint="eastAsia" w:ascii="仿宋_GB2312" w:eastAsia="仿宋_GB2312"/>
          <w:sz w:val="32"/>
        </w:rPr>
        <w:t>要充分利用保险公司理赔过程核实灾情的机会，民政部门要加强与保险公司沟通，将上报的灾情核实清楚。</w:t>
      </w:r>
    </w:p>
    <w:p>
      <w:pPr>
        <w:spacing w:line="560" w:lineRule="exact"/>
        <w:ind w:firstLine="640" w:firstLineChars="200"/>
        <w:rPr>
          <w:rFonts w:hint="eastAsia" w:ascii="黑体" w:hAnsi="黑体" w:eastAsia="黑体"/>
          <w:bCs/>
          <w:sz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singleLevel"/>
    <w:tmpl w:val="0000000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286E26"/>
    <w:rsid w:val="6C286E26"/>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character" w:customStyle="1" w:styleId="4">
    <w:name w:val="bt"/>
    <w:basedOn w:val="2"/>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2018-09-11T02:46:00Z</dcterms:created>
  <dc:creator>Administrator</dc:creator>
  <cp:lastModifiedBy>Administrator</cp:lastModifiedBy>
  <dcterms:modified xsi:type="dcterms:W3CDTF">2018-09-11T02:46:45Z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