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2017年福州市避灾点建设改造和日常维护检测</w:t>
      </w:r>
      <w:r>
        <w:rPr>
          <w:rFonts w:hint="eastAsia" w:ascii="方正小标宋简体" w:hAnsi="方正小标宋简体" w:eastAsia="方正小标宋简体" w:cs="方正小标宋简体"/>
          <w:sz w:val="44"/>
          <w:lang w:eastAsia="zh-CN"/>
        </w:rPr>
        <w:t>项目</w:t>
      </w:r>
      <w:r>
        <w:rPr>
          <w:rFonts w:hint="eastAsia" w:ascii="方正小标宋简体" w:hAnsi="方正小标宋简体" w:eastAsia="方正小标宋简体" w:cs="方正小标宋简体"/>
          <w:sz w:val="44"/>
        </w:rPr>
        <w:t>绩效</w:t>
      </w:r>
      <w:bookmarkStart w:id="0" w:name="_GoBack"/>
      <w:bookmarkEnd w:id="0"/>
      <w:r>
        <w:rPr>
          <w:rFonts w:hint="eastAsia" w:ascii="方正小标宋简体" w:hAnsi="方正小标宋简体" w:eastAsia="方正小标宋简体" w:cs="方正小标宋简体"/>
          <w:sz w:val="44"/>
        </w:rPr>
        <w:t>自评报告</w:t>
      </w:r>
    </w:p>
    <w:p>
      <w:pPr>
        <w:tabs>
          <w:tab w:val="left" w:pos="5985"/>
        </w:tabs>
        <w:ind w:firstLine="640" w:firstLineChars="200"/>
        <w:rPr>
          <w:rFonts w:hint="eastAsia" w:ascii="黑体" w:eastAsia="黑体"/>
          <w:sz w:val="32"/>
        </w:rPr>
      </w:pPr>
    </w:p>
    <w:p>
      <w:pPr>
        <w:spacing w:line="560" w:lineRule="exact"/>
        <w:rPr>
          <w:rFonts w:hint="eastAsia" w:ascii="黑体" w:hAnsi="宋体" w:eastAsia="黑体"/>
          <w:sz w:val="32"/>
        </w:rPr>
      </w:pPr>
      <w:r>
        <w:rPr>
          <w:rFonts w:hint="eastAsia" w:ascii="黑体" w:hAnsi="宋体" w:eastAsia="黑体"/>
          <w:sz w:val="32"/>
        </w:rPr>
        <w:t xml:space="preserve">    一、项目总体情况</w:t>
      </w:r>
    </w:p>
    <w:p>
      <w:pPr>
        <w:spacing w:line="560" w:lineRule="exact"/>
        <w:ind w:firstLine="640" w:firstLineChars="200"/>
        <w:rPr>
          <w:rFonts w:hint="eastAsia" w:ascii="仿宋_GB2312" w:hAnsi="宋体" w:eastAsia="仿宋_GB2312"/>
          <w:sz w:val="32"/>
        </w:rPr>
      </w:pPr>
      <w:r>
        <w:rPr>
          <w:rFonts w:hint="eastAsia" w:ascii="仿宋_GB2312" w:hAnsi="仿宋_GB2312" w:eastAsia="仿宋_GB2312"/>
          <w:sz w:val="32"/>
        </w:rPr>
        <w:t>我市救灾工作以党的十八大及十八届三中、四中、五中、六中全会精神及党的十九大精神为指导，以“十三五”规划为引领，稳中求进。认真落实《福州市人民政府关于自然灾害避灾点建设的实施意见》精神，做好防灾减灾工作，切实保障人民群众生命财产安全。</w:t>
      </w:r>
      <w:r>
        <w:rPr>
          <w:rFonts w:hint="eastAsia" w:ascii="仿宋_GB2312" w:hAnsi="宋体" w:eastAsia="仿宋_GB2312"/>
          <w:sz w:val="32"/>
        </w:rPr>
        <w:t>全年全市</w:t>
      </w:r>
      <w:r>
        <w:rPr>
          <w:rFonts w:hint="eastAsia" w:ascii="仿宋_GB2312" w:eastAsia="仿宋_GB2312"/>
          <w:sz w:val="32"/>
          <w:szCs w:val="32"/>
        </w:rPr>
        <w:t>避灾点建设改造和日常维护检测</w:t>
      </w:r>
      <w:r>
        <w:rPr>
          <w:rFonts w:hint="eastAsia" w:ascii="仿宋_GB2312" w:hAnsi="宋体" w:eastAsia="仿宋_GB2312"/>
          <w:sz w:val="32"/>
        </w:rPr>
        <w:t>总体情况如下：</w:t>
      </w:r>
      <w:r>
        <w:rPr>
          <w:rFonts w:hint="eastAsia" w:ascii="仿宋_GB2312" w:hAnsi="仿宋_GB2312" w:eastAsia="仿宋_GB2312"/>
          <w:sz w:val="32"/>
        </w:rPr>
        <w:t>2017年，市级财政投入</w:t>
      </w:r>
      <w:r>
        <w:rPr>
          <w:rFonts w:hint="eastAsia" w:ascii="仿宋_GB2312" w:eastAsia="仿宋_GB2312"/>
          <w:sz w:val="32"/>
          <w:szCs w:val="32"/>
        </w:rPr>
        <w:t>避灾点建设改造和日常维护检测经费160万元</w:t>
      </w:r>
      <w:r>
        <w:rPr>
          <w:rFonts w:hint="eastAsia" w:ascii="仿宋_GB2312" w:hAnsi="仿宋_GB2312" w:eastAsia="仿宋_GB2312"/>
          <w:sz w:val="32"/>
        </w:rPr>
        <w:t>，按平均每个避灾点500元下达到12个县（市）区。</w:t>
      </w:r>
    </w:p>
    <w:p>
      <w:pPr>
        <w:spacing w:line="560" w:lineRule="exact"/>
        <w:rPr>
          <w:rFonts w:hint="eastAsia" w:ascii="仿宋_GB2312" w:eastAsia="仿宋_GB2312"/>
          <w:bCs/>
          <w:sz w:val="32"/>
        </w:rPr>
      </w:pPr>
      <w:r>
        <w:rPr>
          <w:rFonts w:hint="eastAsia" w:ascii="仿宋_GB2312" w:eastAsia="仿宋_GB2312"/>
          <w:b/>
          <w:sz w:val="32"/>
        </w:rPr>
        <w:t xml:space="preserve">  </w:t>
      </w:r>
      <w:r>
        <w:rPr>
          <w:rFonts w:hint="eastAsia" w:ascii="仿宋_GB2312" w:eastAsia="仿宋_GB2312"/>
          <w:bCs/>
          <w:sz w:val="32"/>
        </w:rPr>
        <w:t xml:space="preserve"> </w:t>
      </w:r>
      <w:r>
        <w:rPr>
          <w:rFonts w:hint="eastAsia" w:ascii="仿宋_GB2312" w:eastAsia="仿宋_GB2312"/>
          <w:b/>
          <w:sz w:val="32"/>
        </w:rPr>
        <w:t xml:space="preserve"> </w:t>
      </w:r>
      <w:r>
        <w:rPr>
          <w:rFonts w:hint="eastAsia" w:ascii="仿宋_GB2312" w:eastAsia="仿宋_GB2312"/>
          <w:bCs/>
          <w:sz w:val="32"/>
        </w:rPr>
        <w:t>项目的实施依据、基本性质、用途和主要内容、涉及范围、预期投入情况及实施后达成的主要效益</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（一）项目的实施依据：</w:t>
      </w:r>
    </w:p>
    <w:p>
      <w:pPr>
        <w:spacing w:line="560" w:lineRule="exact"/>
        <w:ind w:firstLine="640" w:firstLineChars="200"/>
        <w:rPr>
          <w:rFonts w:hint="eastAsia" w:ascii="仿宋_GB2312" w:hAnsi="宋体" w:eastAsia="仿宋_GB2312"/>
          <w:sz w:val="32"/>
        </w:rPr>
      </w:pPr>
      <w:r>
        <w:rPr>
          <w:rFonts w:hint="eastAsia" w:ascii="仿宋_GB2312" w:eastAsia="仿宋_GB2312"/>
          <w:sz w:val="32"/>
        </w:rPr>
        <w:t>根据《</w:t>
      </w:r>
      <w:r>
        <w:rPr>
          <w:rFonts w:hint="eastAsia" w:ascii="仿宋_GB2312" w:hAnsi="仿宋_GB2312" w:eastAsia="仿宋_GB2312"/>
          <w:sz w:val="32"/>
        </w:rPr>
        <w:t>福州市人民政府关于自然灾害避灾点建设的实施意见</w:t>
      </w:r>
      <w:r>
        <w:rPr>
          <w:rFonts w:hint="eastAsia" w:ascii="仿宋_GB2312" w:eastAsia="仿宋_GB2312"/>
          <w:sz w:val="32"/>
        </w:rPr>
        <w:t>》（榕政综</w:t>
      </w:r>
      <w:r>
        <w:rPr>
          <w:rFonts w:hint="eastAsia" w:ascii="仿宋_GB2312" w:hAnsi="宋体" w:eastAsia="仿宋_GB2312"/>
          <w:sz w:val="32"/>
        </w:rPr>
        <w:t>〔2010〕265号</w:t>
      </w:r>
      <w:r>
        <w:rPr>
          <w:rFonts w:hint="eastAsia" w:ascii="仿宋_GB2312" w:eastAsia="仿宋_GB2312"/>
          <w:sz w:val="32"/>
        </w:rPr>
        <w:t>）和《福州市民政局转发〈福建省民政厅关于印发〈自然灾害避灾点管理指导意见〉的通知〉的通知》</w:t>
      </w:r>
      <w:r>
        <w:rPr>
          <w:rFonts w:hint="eastAsia" w:ascii="仿宋_GB2312" w:hAnsi="宋体" w:eastAsia="仿宋_GB2312"/>
          <w:sz w:val="32"/>
        </w:rPr>
        <w:t>（榕民〔2011〕178号）</w:t>
      </w:r>
      <w:r>
        <w:rPr>
          <w:rFonts w:hint="eastAsia" w:ascii="仿宋_GB2312" w:eastAsia="仿宋_GB2312"/>
          <w:sz w:val="32"/>
        </w:rPr>
        <w:t>的规定，避灾点建设、改造和日常维护、检测以及救灾物资所需资金由各级政府为主投入，列入同级财政年度预算。因此，市级财政每年预算160万元用于</w:t>
      </w:r>
      <w:r>
        <w:rPr>
          <w:rFonts w:hint="eastAsia" w:ascii="仿宋_GB2312" w:eastAsia="仿宋_GB2312"/>
          <w:sz w:val="32"/>
          <w:szCs w:val="32"/>
        </w:rPr>
        <w:t>避灾点建设改造和日常维护检测，我局于第一季度即下达到12个县（市）区。</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（二）项目性质、基本用途和主要内容、涉及范围：</w:t>
      </w:r>
    </w:p>
    <w:p>
      <w:pPr>
        <w:spacing w:line="560" w:lineRule="exact"/>
        <w:ind w:firstLine="640" w:firstLineChars="200"/>
        <w:rPr>
          <w:rFonts w:hint="eastAsia" w:ascii="仿宋_GB2312" w:hAnsi="仿宋_GB2312" w:eastAsia="仿宋_GB2312"/>
          <w:sz w:val="32"/>
        </w:rPr>
      </w:pPr>
      <w:r>
        <w:rPr>
          <w:rStyle w:val="4"/>
          <w:rFonts w:hint="eastAsia" w:ascii="仿宋_GB2312" w:hAnsi="仿宋_GB2312" w:eastAsia="仿宋_GB2312"/>
          <w:bCs/>
          <w:sz w:val="32"/>
        </w:rPr>
        <w:t>自然灾害避灾点是指由各级人民政府建立的、灾害发生 时为群众提供避护和基本生活救助的应急场所</w:t>
      </w:r>
      <w:r>
        <w:rPr>
          <w:rStyle w:val="4"/>
          <w:rFonts w:hint="eastAsia" w:ascii="仿宋_GB2312" w:hAnsi="仿宋_GB2312" w:eastAsia="仿宋_GB2312"/>
          <w:sz w:val="32"/>
        </w:rPr>
        <w:t>，包括县、乡、村三级自然灾害避灾点。</w:t>
      </w:r>
      <w:r>
        <w:rPr>
          <w:rFonts w:hint="eastAsia" w:ascii="仿宋_GB2312" w:hAnsi="仿宋_GB2312" w:eastAsia="仿宋_GB2312"/>
          <w:sz w:val="32"/>
        </w:rPr>
        <w:t>自然灾害避灾点的安置对象为因地震、洪涝、冰雹、台风、雨雪、山体滑坡、泥石流等自然灾害造成或可能造成生命财产损失等须转移安置的当地群众和外来人员。自然灾害避灾点为群众无偿提供安置救助服务。</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（三）预期投入情况及实施后达成的主要效益：</w:t>
      </w:r>
    </w:p>
    <w:p>
      <w:pPr>
        <w:spacing w:line="560" w:lineRule="exact"/>
        <w:ind w:firstLine="640" w:firstLineChars="200"/>
        <w:rPr>
          <w:rFonts w:hint="eastAsia" w:ascii="仿宋_GB2312" w:eastAsia="仿宋_GB2312"/>
          <w:sz w:val="32"/>
        </w:rPr>
      </w:pPr>
      <w:r>
        <w:rPr>
          <w:rFonts w:hint="eastAsia" w:ascii="仿宋_GB2312" w:eastAsia="仿宋_GB2312"/>
          <w:bCs/>
          <w:sz w:val="32"/>
        </w:rPr>
        <w:t>2017</w:t>
      </w:r>
      <w:r>
        <w:rPr>
          <w:rFonts w:hint="eastAsia" w:ascii="仿宋_GB2312" w:eastAsia="仿宋_GB2312"/>
          <w:sz w:val="32"/>
        </w:rPr>
        <w:t>年，市级财政共投入了160万元，同时，设置了目标完成率、预算执行率、资金下达县（市）区数、补助避灾点数、当年维护的避灾点可容纳人数等5个绩效目标。通过市级补助资金的下达，各县（市）区资金落实到位，圆满完成了年初绩效目标，</w:t>
      </w:r>
      <w:r>
        <w:rPr>
          <w:rFonts w:hint="eastAsia" w:ascii="仿宋_GB2312" w:eastAsia="仿宋_GB2312"/>
          <w:sz w:val="32"/>
          <w:szCs w:val="32"/>
        </w:rPr>
        <w:t>避灾点建设改造和日常维护检测</w:t>
      </w:r>
      <w:r>
        <w:rPr>
          <w:rFonts w:hint="eastAsia" w:ascii="仿宋_GB2312" w:eastAsia="仿宋_GB2312"/>
          <w:sz w:val="32"/>
        </w:rPr>
        <w:t>落实到位，实现了很好的社会效益。</w:t>
      </w:r>
    </w:p>
    <w:p>
      <w:pPr>
        <w:spacing w:line="560" w:lineRule="exact"/>
        <w:ind w:firstLine="640" w:firstLineChars="200"/>
        <w:rPr>
          <w:rFonts w:hint="eastAsia" w:ascii="黑体" w:hAnsi="黑体" w:eastAsia="黑体"/>
          <w:sz w:val="32"/>
        </w:rPr>
      </w:pPr>
      <w:r>
        <w:rPr>
          <w:rFonts w:hint="eastAsia" w:ascii="黑体" w:hAnsi="黑体" w:eastAsia="黑体"/>
          <w:sz w:val="32"/>
        </w:rPr>
        <w:t>二、项目绩效自评结论</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（一）项目绩效自评得分及等级</w:t>
      </w:r>
    </w:p>
    <w:p>
      <w:pPr>
        <w:spacing w:line="560" w:lineRule="exact"/>
        <w:ind w:firstLine="640" w:firstLineChars="200"/>
        <w:rPr>
          <w:rFonts w:hint="eastAsia" w:ascii="仿宋_GB2312" w:eastAsia="仿宋_GB2312"/>
          <w:b/>
          <w:sz w:val="32"/>
        </w:rPr>
      </w:pPr>
      <w:r>
        <w:rPr>
          <w:rFonts w:hint="eastAsia" w:ascii="仿宋_GB2312" w:eastAsia="仿宋_GB2312"/>
          <w:sz w:val="32"/>
        </w:rPr>
        <w:t>项目绩效评价得分100分，等级为优秀。</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 xml:space="preserve">（二）项目绩效目标实现情况分析 </w:t>
      </w:r>
    </w:p>
    <w:p>
      <w:pPr>
        <w:spacing w:line="560" w:lineRule="exact"/>
        <w:rPr>
          <w:rFonts w:hint="eastAsia" w:ascii="仿宋_GB2312" w:eastAsia="仿宋_GB2312"/>
          <w:sz w:val="32"/>
        </w:rPr>
      </w:pPr>
      <w:r>
        <w:rPr>
          <w:rFonts w:hint="eastAsia" w:ascii="仿宋_GB2312" w:eastAsia="仿宋_GB2312"/>
          <w:sz w:val="32"/>
        </w:rPr>
        <w:t xml:space="preserve">     2017年项目设置了5个绩效目标，其中：</w:t>
      </w:r>
    </w:p>
    <w:p>
      <w:pPr>
        <w:spacing w:line="560" w:lineRule="exact"/>
        <w:ind w:firstLine="640" w:firstLineChars="200"/>
        <w:rPr>
          <w:rFonts w:hint="eastAsia" w:ascii="仿宋_GB2312" w:eastAsia="仿宋_GB2312"/>
          <w:sz w:val="32"/>
        </w:rPr>
      </w:pPr>
      <w:r>
        <w:rPr>
          <w:rFonts w:hint="eastAsia" w:ascii="仿宋_GB2312" w:eastAsia="仿宋_GB2312"/>
          <w:sz w:val="32"/>
        </w:rPr>
        <w:t>第一是时效目标，绩效目标内容是目标完成率，绩效目标值是2017年完成100%。实际完成情况为：2017年完成100%。目标完成率100%</w:t>
      </w:r>
      <w:r>
        <w:rPr>
          <w:rFonts w:hint="eastAsia" w:ascii="仿宋" w:hAnsi="仿宋" w:eastAsia="仿宋"/>
          <w:sz w:val="32"/>
        </w:rPr>
        <w:t>。</w:t>
      </w:r>
    </w:p>
    <w:p>
      <w:pPr>
        <w:spacing w:line="560" w:lineRule="exact"/>
        <w:ind w:firstLine="640" w:firstLineChars="200"/>
        <w:rPr>
          <w:rFonts w:hint="eastAsia" w:ascii="仿宋_GB2312" w:eastAsia="仿宋_GB2312"/>
          <w:sz w:val="32"/>
        </w:rPr>
      </w:pPr>
      <w:r>
        <w:rPr>
          <w:rFonts w:hint="eastAsia" w:ascii="仿宋_GB2312" w:eastAsia="仿宋_GB2312"/>
          <w:sz w:val="32"/>
        </w:rPr>
        <w:t>第二是成本目标，绩效目标内容是预算执行率，绩效目标值是2017年预算执行率100%，实际完成情况为：2017年预算执行率为100%。预算执行率100%</w:t>
      </w:r>
      <w:r>
        <w:rPr>
          <w:rFonts w:hint="eastAsia" w:ascii="仿宋" w:hAnsi="仿宋" w:eastAsia="仿宋"/>
          <w:sz w:val="32"/>
        </w:rPr>
        <w:t>。</w:t>
      </w:r>
    </w:p>
    <w:p>
      <w:pPr>
        <w:spacing w:line="560" w:lineRule="exact"/>
        <w:ind w:firstLine="640" w:firstLineChars="200"/>
        <w:rPr>
          <w:rFonts w:hint="eastAsia" w:ascii="仿宋_GB2312" w:eastAsia="仿宋_GB2312"/>
          <w:sz w:val="32"/>
        </w:rPr>
      </w:pPr>
      <w:r>
        <w:rPr>
          <w:rFonts w:hint="eastAsia" w:ascii="仿宋_GB2312" w:eastAsia="仿宋_GB2312"/>
          <w:sz w:val="32"/>
        </w:rPr>
        <w:t>第三是数量目标，绩效目标内容是资金下达县（市）区数，绩效目标值是2017年12个。实际完成情况为：2017年补助12个。</w:t>
      </w:r>
    </w:p>
    <w:p>
      <w:pPr>
        <w:spacing w:line="560" w:lineRule="exact"/>
        <w:ind w:firstLine="640" w:firstLineChars="200"/>
        <w:rPr>
          <w:rFonts w:hint="eastAsia" w:ascii="仿宋_GB2312" w:eastAsia="仿宋_GB2312"/>
          <w:sz w:val="32"/>
        </w:rPr>
      </w:pPr>
      <w:r>
        <w:rPr>
          <w:rFonts w:hint="eastAsia" w:ascii="仿宋_GB2312" w:eastAsia="仿宋_GB2312"/>
          <w:sz w:val="32"/>
        </w:rPr>
        <w:t>第四是可持续影响目标，绩效目标内容是补助避灾点（乡镇、村）数，绩效目标值是2017年不低于600个。实际完成情况是补助避灾点不少于600个。</w:t>
      </w:r>
    </w:p>
    <w:p>
      <w:pPr>
        <w:spacing w:line="560" w:lineRule="exact"/>
        <w:ind w:firstLine="640" w:firstLineChars="200"/>
        <w:rPr>
          <w:rFonts w:hint="eastAsia" w:ascii="仿宋_GB2312" w:eastAsia="仿宋_GB2312"/>
          <w:sz w:val="32"/>
        </w:rPr>
      </w:pPr>
      <w:r>
        <w:rPr>
          <w:rFonts w:hint="eastAsia" w:ascii="仿宋_GB2312" w:eastAsia="仿宋_GB2312"/>
          <w:sz w:val="32"/>
        </w:rPr>
        <w:t>第五是可持续影响目标，绩效目标内容是当年维护的避灾点可容纳人数，绩效目标值是2017年可容纳56100人。实际完成情况为：2017年容纳58000多人。</w:t>
      </w:r>
    </w:p>
    <w:p>
      <w:pPr>
        <w:spacing w:line="560" w:lineRule="exact"/>
        <w:ind w:firstLine="640" w:firstLineChars="200"/>
        <w:rPr>
          <w:rFonts w:hint="eastAsia" w:ascii="楷体" w:hAnsi="楷体" w:eastAsia="楷体" w:cs="楷体"/>
          <w:bCs/>
          <w:color w:val="000000"/>
          <w:kern w:val="0"/>
          <w:sz w:val="32"/>
        </w:rPr>
      </w:pPr>
      <w:r>
        <w:rPr>
          <w:rFonts w:hint="eastAsia" w:ascii="楷体" w:hAnsi="楷体" w:eastAsia="楷体" w:cs="楷体"/>
          <w:bCs/>
          <w:color w:val="000000"/>
          <w:kern w:val="0"/>
          <w:sz w:val="32"/>
        </w:rPr>
        <w:t>（三）项目实施中存在的问题和改进建议</w:t>
      </w:r>
    </w:p>
    <w:p>
      <w:pPr>
        <w:spacing w:line="560" w:lineRule="exact"/>
        <w:ind w:left="640"/>
        <w:rPr>
          <w:rFonts w:hint="eastAsia" w:ascii="仿宋_GB2312" w:eastAsia="仿宋_GB2312"/>
          <w:sz w:val="32"/>
        </w:rPr>
      </w:pPr>
      <w:r>
        <w:rPr>
          <w:rFonts w:hint="eastAsia" w:ascii="仿宋_GB2312" w:eastAsia="仿宋_GB2312"/>
          <w:sz w:val="32"/>
        </w:rPr>
        <w:t>存在问题：</w:t>
      </w:r>
    </w:p>
    <w:p>
      <w:pPr>
        <w:numPr>
          <w:ilvl w:val="0"/>
          <w:numId w:val="1"/>
        </w:numPr>
        <w:spacing w:line="560" w:lineRule="exact"/>
        <w:rPr>
          <w:rFonts w:hint="eastAsia" w:ascii="仿宋_GB2312" w:eastAsia="仿宋_GB2312"/>
          <w:sz w:val="32"/>
        </w:rPr>
      </w:pPr>
      <w:r>
        <w:rPr>
          <w:rFonts w:hint="eastAsia" w:ascii="仿宋_GB2312" w:eastAsia="仿宋_GB2312"/>
          <w:sz w:val="32"/>
        </w:rPr>
        <w:t>全市160万元，分配到每个避灾点就只有500元，</w:t>
      </w:r>
    </w:p>
    <w:p>
      <w:pPr>
        <w:spacing w:line="560" w:lineRule="exact"/>
        <w:rPr>
          <w:rFonts w:hint="eastAsia" w:ascii="仿宋_GB2312" w:hAnsi="仿宋_GB2312" w:eastAsia="仿宋_GB2312"/>
          <w:sz w:val="32"/>
        </w:rPr>
      </w:pPr>
      <w:r>
        <w:rPr>
          <w:rFonts w:hint="eastAsia" w:ascii="仿宋_GB2312" w:eastAsia="仿宋_GB2312"/>
          <w:sz w:val="32"/>
        </w:rPr>
        <w:t>很难起到改善避灾点作用</w:t>
      </w:r>
      <w:r>
        <w:rPr>
          <w:rFonts w:hint="eastAsia" w:ascii="仿宋_GB2312" w:hAnsi="仿宋_GB2312" w:eastAsia="仿宋_GB2312"/>
          <w:sz w:val="32"/>
        </w:rPr>
        <w:t>。</w:t>
      </w:r>
    </w:p>
    <w:p>
      <w:pPr>
        <w:spacing w:line="560" w:lineRule="exact"/>
        <w:ind w:firstLine="645"/>
        <w:textAlignment w:val="baseline"/>
        <w:rPr>
          <w:rFonts w:hint="eastAsia" w:ascii="仿宋_GB2312" w:eastAsia="仿宋_GB2312"/>
          <w:sz w:val="32"/>
        </w:rPr>
      </w:pPr>
      <w:r>
        <w:rPr>
          <w:rFonts w:hint="eastAsia" w:ascii="仿宋_GB2312" w:hAnsi="仿宋_GB2312" w:eastAsia="仿宋_GB2312"/>
          <w:sz w:val="32"/>
        </w:rPr>
        <w:t>2、全市避灾点太多（3200个），很难管理到位</w:t>
      </w:r>
      <w:r>
        <w:rPr>
          <w:rFonts w:hint="eastAsia" w:ascii="仿宋_GB2312" w:eastAsia="仿宋_GB2312"/>
          <w:sz w:val="32"/>
        </w:rPr>
        <w:t>。</w:t>
      </w:r>
    </w:p>
    <w:p>
      <w:pPr>
        <w:spacing w:line="560" w:lineRule="exact"/>
        <w:ind w:firstLine="640" w:firstLineChars="200"/>
        <w:rPr>
          <w:rFonts w:hint="eastAsia" w:ascii="仿宋_GB2312" w:eastAsia="仿宋_GB2312"/>
          <w:sz w:val="32"/>
        </w:rPr>
      </w:pPr>
      <w:r>
        <w:rPr>
          <w:rFonts w:hint="eastAsia" w:ascii="仿宋_GB2312" w:eastAsia="仿宋_GB2312"/>
          <w:sz w:val="32"/>
        </w:rPr>
        <w:t>3、福州市多台风，楼房不断增多，城区避灾点利用率不高。</w:t>
      </w:r>
    </w:p>
    <w:p>
      <w:pPr>
        <w:spacing w:line="560" w:lineRule="exact"/>
        <w:ind w:firstLine="640" w:firstLineChars="200"/>
        <w:rPr>
          <w:rFonts w:hint="eastAsia" w:ascii="仿宋_GB2312" w:eastAsia="仿宋_GB2312"/>
          <w:sz w:val="32"/>
        </w:rPr>
      </w:pPr>
      <w:r>
        <w:rPr>
          <w:rFonts w:hint="eastAsia" w:ascii="仿宋_GB2312" w:eastAsia="仿宋_GB2312"/>
          <w:sz w:val="32"/>
        </w:rPr>
        <w:t>建议：</w:t>
      </w:r>
    </w:p>
    <w:p>
      <w:pPr>
        <w:numPr>
          <w:ilvl w:val="0"/>
          <w:numId w:val="2"/>
        </w:numPr>
        <w:spacing w:line="560" w:lineRule="exact"/>
        <w:ind w:firstLine="640" w:firstLineChars="200"/>
        <w:rPr>
          <w:rFonts w:hint="eastAsia" w:ascii="仿宋_GB2312" w:eastAsia="仿宋_GB2312"/>
          <w:sz w:val="32"/>
        </w:rPr>
      </w:pPr>
      <w:r>
        <w:rPr>
          <w:rFonts w:hint="eastAsia" w:ascii="仿宋_GB2312" w:hAnsi="仿宋_GB2312" w:eastAsia="仿宋_GB2312"/>
          <w:sz w:val="32"/>
        </w:rPr>
        <w:t>避灾点有分（Ⅰ、Ⅱ、Ⅲ）三类，因此，资金也可分类使用，市级负责Ⅰ类，县级负责Ⅱ类，乡镇（街道）负责Ⅲ类。</w:t>
      </w:r>
    </w:p>
    <w:p>
      <w:pPr>
        <w:numPr>
          <w:ilvl w:val="0"/>
          <w:numId w:val="2"/>
        </w:numPr>
        <w:spacing w:line="560" w:lineRule="exact"/>
        <w:ind w:firstLine="640" w:firstLineChars="200"/>
        <w:rPr>
          <w:rFonts w:hint="eastAsia" w:ascii="仿宋_GB2312" w:eastAsia="仿宋_GB2312"/>
          <w:sz w:val="32"/>
        </w:rPr>
      </w:pPr>
      <w:r>
        <w:rPr>
          <w:rFonts w:hint="eastAsia" w:ascii="仿宋_GB2312" w:eastAsia="仿宋_GB2312"/>
          <w:sz w:val="32"/>
        </w:rPr>
        <w:t>福州市多台风，灾害多是台风、洪涝等水患，近年来随着商品房不断增多，因水患引起群众到避灾点的越来越少，因此，可适当减少城区</w:t>
      </w:r>
      <w:r>
        <w:rPr>
          <w:rFonts w:hint="eastAsia" w:ascii="仿宋_GB2312" w:hAnsi="仿宋_GB2312" w:eastAsia="仿宋_GB2312"/>
          <w:sz w:val="32"/>
        </w:rPr>
        <w:t>Ⅲ类避灾点</w:t>
      </w:r>
      <w:r>
        <w:rPr>
          <w:rFonts w:hint="eastAsia" w:ascii="仿宋_GB2312" w:eastAsia="仿宋_GB2312"/>
          <w:sz w:val="32"/>
        </w:rPr>
        <w:t>。</w:t>
      </w:r>
    </w:p>
    <w:p>
      <w:pPr>
        <w:spacing w:line="560" w:lineRule="exact"/>
        <w:ind w:firstLine="640" w:firstLineChars="200"/>
        <w:rPr>
          <w:rFonts w:hint="eastAsia" w:ascii="黑体" w:hAnsi="黑体" w:eastAsia="黑体"/>
          <w:bCs/>
          <w:sz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1"/>
      <w:numFmt w:val="decimal"/>
      <w:suff w:val="nothing"/>
      <w:lvlText w:val="%1、"/>
      <w:lvlJc w:val="left"/>
    </w:lvl>
  </w:abstractNum>
  <w:abstractNum w:abstractNumId="1">
    <w:nsid w:val="7DCF43D1"/>
    <w:multiLevelType w:val="multilevel"/>
    <w:tmpl w:val="7DCF43D1"/>
    <w:lvl w:ilvl="0" w:tentative="0">
      <w:start w:val="1"/>
      <w:numFmt w:val="decimal"/>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B8578E"/>
    <w:rsid w:val="20B8578E"/>
    <w:rsid w:val="3C74227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character" w:customStyle="1" w:styleId="4">
    <w:name w:val="bt"/>
    <w:basedOn w:val="2"/>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2018-09-11T02:47:00Z</dcterms:created>
  <dc:creator>Administrator</dc:creator>
  <cp:lastModifiedBy>Administrator</cp:lastModifiedBy>
  <dcterms:modified xsi:type="dcterms:W3CDTF">2018-09-11T02:48:29Z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