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2017年福州市重点优抚对象医疗补助</w:t>
      </w:r>
    </w:p>
    <w:p>
      <w:pPr>
        <w:adjustRightInd w:val="0"/>
        <w:snapToGrid w:val="0"/>
        <w:spacing w:line="360" w:lineRule="auto"/>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项目绩效自评报告</w:t>
      </w:r>
    </w:p>
    <w:p>
      <w:pPr>
        <w:tabs>
          <w:tab w:val="left" w:pos="5985"/>
        </w:tabs>
        <w:adjustRightInd w:val="0"/>
        <w:snapToGrid w:val="0"/>
        <w:spacing w:line="360" w:lineRule="auto"/>
        <w:ind w:firstLine="640" w:firstLineChars="200"/>
        <w:rPr>
          <w:rFonts w:hint="eastAsia" w:ascii="黑体" w:eastAsia="黑体"/>
          <w:sz w:val="32"/>
        </w:rPr>
      </w:pPr>
    </w:p>
    <w:p>
      <w:pPr>
        <w:adjustRightInd w:val="0"/>
        <w:snapToGrid w:val="0"/>
        <w:spacing w:line="360" w:lineRule="auto"/>
        <w:rPr>
          <w:rFonts w:hint="eastAsia" w:ascii="黑体" w:hAnsi="宋体" w:eastAsia="黑体"/>
          <w:sz w:val="32"/>
        </w:rPr>
      </w:pPr>
      <w:r>
        <w:rPr>
          <w:rFonts w:hint="eastAsia" w:ascii="黑体" w:hAnsi="宋体" w:eastAsia="黑体"/>
          <w:sz w:val="32"/>
        </w:rPr>
        <w:t xml:space="preserve">    一、项目总体情况</w:t>
      </w:r>
    </w:p>
    <w:p>
      <w:pPr>
        <w:adjustRightInd w:val="0"/>
        <w:snapToGrid w:val="0"/>
        <w:spacing w:line="360" w:lineRule="auto"/>
        <w:ind w:left="2813" w:leftChars="273" w:hanging="2240" w:hangingChars="700"/>
        <w:jc w:val="center"/>
        <w:rPr>
          <w:rFonts w:hint="eastAsia" w:ascii="仿宋_GB2312" w:hAnsi="仿宋" w:eastAsia="仿宋_GB2312"/>
          <w:sz w:val="32"/>
        </w:rPr>
      </w:pPr>
      <w:r>
        <w:rPr>
          <w:rFonts w:hint="eastAsia" w:ascii="仿宋_GB2312" w:hAnsi="仿宋" w:eastAsia="仿宋_GB2312"/>
          <w:sz w:val="32"/>
        </w:rPr>
        <w:t>近年来，市委、市政府高度重视退伍军人优抚优待工作，</w:t>
      </w:r>
    </w:p>
    <w:p>
      <w:pPr>
        <w:adjustRightInd w:val="0"/>
        <w:snapToGrid w:val="0"/>
        <w:spacing w:line="360" w:lineRule="auto"/>
        <w:rPr>
          <w:rFonts w:hint="eastAsia" w:ascii="仿宋_GB2312" w:hAnsi="仿宋" w:eastAsia="仿宋_GB2312"/>
          <w:sz w:val="32"/>
        </w:rPr>
      </w:pPr>
      <w:r>
        <w:rPr>
          <w:rFonts w:hint="eastAsia" w:ascii="仿宋_GB2312" w:hAnsi="仿宋" w:eastAsia="仿宋_GB2312"/>
          <w:sz w:val="32"/>
        </w:rPr>
        <w:t>把</w:t>
      </w:r>
      <w:r>
        <w:rPr>
          <w:rFonts w:hint="eastAsia" w:ascii="仿宋_GB2312" w:eastAsia="仿宋_GB2312"/>
          <w:sz w:val="32"/>
          <w:szCs w:val="32"/>
        </w:rPr>
        <w:t>重点优抚对象医疗补助</w:t>
      </w:r>
      <w:r>
        <w:rPr>
          <w:rFonts w:hint="eastAsia" w:ascii="仿宋_GB2312" w:hAnsi="仿宋" w:eastAsia="仿宋_GB2312"/>
          <w:sz w:val="32"/>
        </w:rPr>
        <w:t>工作作为落实国家抚恤优待政策一项重要内容，抓紧抓好，</w:t>
      </w:r>
      <w:r>
        <w:rPr>
          <w:rFonts w:hint="eastAsia" w:ascii="仿宋_GB2312" w:eastAsia="仿宋_GB2312"/>
          <w:sz w:val="32"/>
          <w:szCs w:val="32"/>
        </w:rPr>
        <w:t>重点优抚对象医疗补助</w:t>
      </w:r>
      <w:r>
        <w:rPr>
          <w:rFonts w:hint="eastAsia" w:ascii="仿宋_GB2312" w:hAnsi="仿宋" w:eastAsia="仿宋_GB2312"/>
          <w:sz w:val="32"/>
        </w:rPr>
        <w:t>所资金列入财政预算。同时，民政部门会同财政部门做好重点优抚对象抚恤补助资金预算安排工作， 2017年市级财政下拨各县（市）区</w:t>
      </w:r>
      <w:r>
        <w:rPr>
          <w:rFonts w:hint="eastAsia" w:ascii="仿宋_GB2312" w:eastAsia="仿宋_GB2312"/>
          <w:sz w:val="32"/>
          <w:szCs w:val="32"/>
        </w:rPr>
        <w:t>重点优抚对象医疗补助（省补助市级配套项目）</w:t>
      </w:r>
      <w:r>
        <w:rPr>
          <w:rFonts w:hint="eastAsia" w:ascii="仿宋_GB2312" w:hAnsi="仿宋_GB2312" w:eastAsia="仿宋_GB2312"/>
          <w:sz w:val="32"/>
        </w:rPr>
        <w:t>96.47万元</w:t>
      </w:r>
      <w:r>
        <w:rPr>
          <w:rFonts w:hint="eastAsia" w:ascii="仿宋_GB2312" w:hAnsi="仿宋" w:eastAsia="仿宋_GB2312"/>
          <w:sz w:val="32"/>
        </w:rPr>
        <w:t>，确保了重点优抚对象医疗补助工作正常开展。</w:t>
      </w:r>
    </w:p>
    <w:p>
      <w:pPr>
        <w:adjustRightInd w:val="0"/>
        <w:snapToGrid w:val="0"/>
        <w:spacing w:line="360" w:lineRule="auto"/>
        <w:ind w:firstLine="640" w:firstLineChars="200"/>
        <w:rPr>
          <w:rFonts w:hint="eastAsia" w:ascii="黑体" w:hAnsi="黑体" w:eastAsia="黑体"/>
          <w:sz w:val="32"/>
        </w:rPr>
      </w:pPr>
      <w:r>
        <w:rPr>
          <w:rFonts w:hint="eastAsia" w:ascii="黑体" w:hAnsi="黑体" w:eastAsia="黑体"/>
          <w:sz w:val="32"/>
        </w:rPr>
        <w:t>二、项目绩效自评结论</w:t>
      </w:r>
    </w:p>
    <w:p>
      <w:pPr>
        <w:adjustRightInd w:val="0"/>
        <w:snapToGrid w:val="0"/>
        <w:spacing w:line="360" w:lineRule="auto"/>
        <w:ind w:firstLine="640" w:firstLineChars="200"/>
        <w:rPr>
          <w:rFonts w:hint="eastAsia" w:ascii="楷体" w:hAnsi="楷体" w:eastAsia="楷体" w:cs="楷体"/>
          <w:bCs/>
          <w:sz w:val="32"/>
        </w:rPr>
      </w:pPr>
      <w:r>
        <w:rPr>
          <w:rFonts w:hint="eastAsia" w:ascii="楷体" w:hAnsi="楷体" w:eastAsia="楷体" w:cs="楷体"/>
          <w:bCs/>
          <w:sz w:val="32"/>
        </w:rPr>
        <w:t>（一）项目绩效自评得分及等级</w:t>
      </w:r>
    </w:p>
    <w:p>
      <w:pPr>
        <w:adjustRightInd w:val="0"/>
        <w:snapToGrid w:val="0"/>
        <w:spacing w:line="360" w:lineRule="auto"/>
        <w:ind w:firstLine="640" w:firstLineChars="200"/>
        <w:rPr>
          <w:rFonts w:hint="eastAsia" w:ascii="仿宋_GB2312" w:eastAsia="仿宋_GB2312"/>
          <w:b/>
          <w:sz w:val="32"/>
        </w:rPr>
      </w:pPr>
      <w:r>
        <w:rPr>
          <w:rFonts w:hint="eastAsia" w:ascii="仿宋_GB2312" w:eastAsia="仿宋_GB2312"/>
          <w:sz w:val="32"/>
        </w:rPr>
        <w:t>项目绩效评价得分96.92分，等级为优秀。</w:t>
      </w:r>
    </w:p>
    <w:p>
      <w:pPr>
        <w:adjustRightInd w:val="0"/>
        <w:snapToGrid w:val="0"/>
        <w:spacing w:line="360" w:lineRule="auto"/>
        <w:ind w:firstLine="640" w:firstLineChars="200"/>
        <w:rPr>
          <w:rFonts w:hint="eastAsia" w:ascii="楷体" w:hAnsi="楷体" w:eastAsia="楷体" w:cs="楷体"/>
          <w:bCs/>
          <w:sz w:val="32"/>
        </w:rPr>
      </w:pPr>
      <w:r>
        <w:rPr>
          <w:rFonts w:hint="eastAsia" w:ascii="楷体" w:hAnsi="楷体" w:eastAsia="楷体" w:cs="楷体"/>
          <w:bCs/>
          <w:sz w:val="32"/>
        </w:rPr>
        <w:t xml:space="preserve">（二）项目绩效目标实现情况分析 </w:t>
      </w:r>
    </w:p>
    <w:p>
      <w:pPr>
        <w:adjustRightInd w:val="0"/>
        <w:snapToGrid w:val="0"/>
        <w:spacing w:line="360" w:lineRule="auto"/>
        <w:rPr>
          <w:rFonts w:hint="eastAsia" w:ascii="仿宋_GB2312" w:eastAsia="仿宋_GB2312"/>
          <w:sz w:val="32"/>
        </w:rPr>
      </w:pPr>
      <w:r>
        <w:rPr>
          <w:rFonts w:hint="eastAsia" w:ascii="仿宋_GB2312" w:eastAsia="仿宋_GB2312"/>
          <w:sz w:val="32"/>
        </w:rPr>
        <w:t xml:space="preserve">     2017年项目设置了5个绩效目标，其中：</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一是时效目标，绩效目标内容为目标完成率，其中年初财政批复设置目标值3个（预算执行率、补助县区数、受益的带病回乡人员保障率），期中增编设置目标值2个（目标完成率、资金下拨准确率）。2017年目标完成率（当年完成目标数/期初编制目标数）为100%。</w:t>
      </w:r>
    </w:p>
    <w:p>
      <w:pPr>
        <w:adjustRightInd w:val="0"/>
        <w:snapToGrid w:val="0"/>
        <w:spacing w:line="360" w:lineRule="auto"/>
        <w:ind w:firstLine="640" w:firstLineChars="200"/>
        <w:rPr>
          <w:rFonts w:hint="eastAsia" w:ascii="仿宋_GB2312" w:hAnsi="Arial" w:eastAsia="仿宋_GB2312"/>
          <w:color w:val="000000"/>
          <w:kern w:val="0"/>
          <w:sz w:val="32"/>
          <w:shd w:val="clear" w:color="auto" w:fill="FFFFFF"/>
        </w:rPr>
      </w:pPr>
      <w:r>
        <w:rPr>
          <w:rFonts w:hint="eastAsia" w:ascii="仿宋_GB2312" w:eastAsia="仿宋_GB2312"/>
          <w:sz w:val="32"/>
        </w:rPr>
        <w:t>第二是成本目标，绩效目标内容是预算执行率， 2017年预算目标执行率为不低于95%。目标实际完成率为80.39%。主要原因是：年初安排预算时，考虑当年可能会有新增重点优抚对象人员。</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第三是数量目标，绩效目标内容是补助县区数，参考标准是2016年12个县（市）区，绩效目标值是2017年不低于12个县(市)区。实际完成情况为：2017年补助12个县（市）区。</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第四是质量目标，绩效目标内容是下拨资金准确率，为期中增编目标值，绩效目标值是2017年100%。实际完成情况为：2017年下拨资金准确率为100%。</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五是社会效益目标，绩效目标内容是受益的优抚对象保障率，参考标准是2016年受益的优抚对象保障率100%，绩效目标值是2017年受益的优抚对象保障率100%。实际完成情况为：2017年受益的优抚对象8041人，保障率100%。</w:t>
      </w:r>
    </w:p>
    <w:p>
      <w:pPr>
        <w:adjustRightInd w:val="0"/>
        <w:snapToGrid w:val="0"/>
        <w:spacing w:line="360" w:lineRule="auto"/>
        <w:ind w:firstLine="640" w:firstLineChars="200"/>
        <w:rPr>
          <w:rFonts w:hint="eastAsia" w:ascii="楷体" w:hAnsi="楷体" w:eastAsia="楷体" w:cs="楷体"/>
          <w:bCs/>
          <w:color w:val="000000"/>
          <w:kern w:val="0"/>
          <w:sz w:val="32"/>
        </w:rPr>
      </w:pPr>
      <w:r>
        <w:rPr>
          <w:rFonts w:hint="eastAsia" w:ascii="楷体" w:hAnsi="楷体" w:eastAsia="楷体" w:cs="楷体"/>
          <w:bCs/>
          <w:color w:val="000000"/>
          <w:kern w:val="0"/>
          <w:sz w:val="32"/>
        </w:rPr>
        <w:t>（三）项目实施中存在的问题和改进建议</w:t>
      </w:r>
    </w:p>
    <w:p>
      <w:pPr>
        <w:adjustRightInd w:val="0"/>
        <w:snapToGrid w:val="0"/>
        <w:spacing w:line="360" w:lineRule="auto"/>
        <w:ind w:left="640"/>
        <w:rPr>
          <w:rFonts w:hint="eastAsia" w:ascii="仿宋_GB2312" w:eastAsia="仿宋_GB2312"/>
          <w:sz w:val="32"/>
        </w:rPr>
      </w:pPr>
      <w:r>
        <w:rPr>
          <w:rFonts w:hint="eastAsia" w:ascii="仿宋_GB2312" w:eastAsia="仿宋_GB2312"/>
          <w:sz w:val="32"/>
        </w:rPr>
        <w:t>1、存在问题：</w:t>
      </w:r>
    </w:p>
    <w:p>
      <w:pPr>
        <w:adjustRightInd w:val="0"/>
        <w:snapToGrid w:val="0"/>
        <w:spacing w:line="360" w:lineRule="auto"/>
        <w:ind w:firstLine="480" w:firstLineChars="150"/>
        <w:rPr>
          <w:rFonts w:hint="eastAsia" w:ascii="仿宋_GB2312" w:hAnsi="仿宋_GB2312" w:eastAsia="仿宋_GB2312"/>
          <w:sz w:val="32"/>
        </w:rPr>
      </w:pPr>
      <w:bookmarkStart w:id="0" w:name="_GoBack"/>
      <w:r>
        <w:rPr>
          <w:rFonts w:hint="eastAsia" w:ascii="仿宋_GB2312" w:eastAsia="仿宋_GB2312"/>
          <w:sz w:val="32"/>
        </w:rPr>
        <w:t>（1）</w:t>
      </w:r>
      <w:r>
        <w:rPr>
          <w:rFonts w:hint="eastAsia" w:ascii="仿宋_GB2312" w:hAnsi="仿宋_GB2312" w:eastAsia="仿宋_GB2312"/>
          <w:sz w:val="32"/>
        </w:rPr>
        <w:t>存在</w:t>
      </w:r>
      <w:r>
        <w:rPr>
          <w:rFonts w:hint="eastAsia" w:ascii="仿宋_GB2312" w:eastAsia="仿宋_GB2312"/>
          <w:sz w:val="32"/>
        </w:rPr>
        <w:t>管理</w:t>
      </w:r>
      <w:r>
        <w:rPr>
          <w:rFonts w:hint="eastAsia" w:ascii="仿宋_GB2312" w:hAnsi="仿宋_GB2312" w:eastAsia="仿宋_GB2312"/>
          <w:sz w:val="32"/>
        </w:rPr>
        <w:t>不够规范化、不够完善</w:t>
      </w:r>
      <w:r>
        <w:rPr>
          <w:rFonts w:hint="eastAsia" w:ascii="仿宋_GB2312" w:hAnsi="仿宋_GB2312" w:eastAsia="仿宋_GB2312"/>
          <w:sz w:val="32"/>
          <w:lang w:eastAsia="zh-CN"/>
        </w:rPr>
        <w:t>的问题；</w:t>
      </w:r>
    </w:p>
    <w:p>
      <w:pPr>
        <w:adjustRightInd w:val="0"/>
        <w:snapToGrid w:val="0"/>
        <w:spacing w:line="360" w:lineRule="auto"/>
        <w:ind w:firstLine="480" w:firstLineChars="150"/>
        <w:textAlignment w:val="baseline"/>
        <w:rPr>
          <w:rFonts w:hint="eastAsia" w:ascii="仿宋_GB2312" w:eastAsia="仿宋_GB2312"/>
          <w:sz w:val="32"/>
        </w:rPr>
      </w:pPr>
      <w:r>
        <w:rPr>
          <w:rFonts w:hint="eastAsia" w:ascii="仿宋_GB2312" w:hAnsi="仿宋_GB2312" w:eastAsia="仿宋_GB2312"/>
          <w:sz w:val="32"/>
        </w:rPr>
        <w:t>（2）监管</w:t>
      </w:r>
      <w:r>
        <w:rPr>
          <w:rFonts w:hint="eastAsia" w:ascii="仿宋_GB2312" w:hAnsi="仿宋_GB2312" w:eastAsia="仿宋_GB2312"/>
          <w:sz w:val="32"/>
          <w:lang w:eastAsia="zh-CN"/>
        </w:rPr>
        <w:t>工作有待加强。</w:t>
      </w:r>
    </w:p>
    <w:bookmarkEnd w:id="0"/>
    <w:p>
      <w:pPr>
        <w:adjustRightInd w:val="0"/>
        <w:snapToGrid w:val="0"/>
        <w:spacing w:line="360" w:lineRule="auto"/>
        <w:ind w:firstLine="800" w:firstLineChars="250"/>
        <w:rPr>
          <w:rFonts w:hint="eastAsia" w:ascii="仿宋_GB2312" w:eastAsia="仿宋_GB2312"/>
          <w:sz w:val="32"/>
        </w:rPr>
      </w:pPr>
      <w:r>
        <w:rPr>
          <w:rFonts w:hint="eastAsia" w:ascii="仿宋_GB2312" w:eastAsia="仿宋_GB2312"/>
          <w:sz w:val="32"/>
        </w:rPr>
        <w:t>2、建议：</w:t>
      </w:r>
    </w:p>
    <w:p>
      <w:pPr>
        <w:adjustRightInd w:val="0"/>
        <w:snapToGrid w:val="0"/>
        <w:spacing w:line="360" w:lineRule="auto"/>
        <w:ind w:firstLine="640" w:firstLineChars="200"/>
        <w:rPr>
          <w:rFonts w:hint="eastAsia" w:ascii="仿宋_GB2312" w:eastAsia="仿宋_GB2312"/>
          <w:sz w:val="32"/>
        </w:rPr>
      </w:pPr>
      <w:r>
        <w:rPr>
          <w:rFonts w:hint="eastAsia" w:ascii="仿宋_GB2312" w:hAnsi="仿宋_GB2312" w:eastAsia="仿宋_GB2312"/>
          <w:sz w:val="32"/>
        </w:rPr>
        <w:t>（1）按照福建省民政厅、财政厅《关于印发〈福建省优抚对象和革命“五老”人员医疗补助资金使用管理办法〉的通知》（闽财社[2014]33号）的要求，强化责任意识，全面推进重点优抚对象医疗救助资金的规范化建设，落实好动态管理机制。</w:t>
      </w:r>
    </w:p>
    <w:p>
      <w:pPr>
        <w:adjustRightInd w:val="0"/>
        <w:snapToGrid w:val="0"/>
        <w:spacing w:line="360" w:lineRule="auto"/>
        <w:ind w:firstLine="480" w:firstLineChars="150"/>
        <w:rPr>
          <w:rFonts w:hint="eastAsia" w:ascii="仿宋_GB2312" w:eastAsia="仿宋_GB2312"/>
          <w:sz w:val="32"/>
        </w:rPr>
      </w:pPr>
      <w:r>
        <w:rPr>
          <w:rFonts w:hint="eastAsia" w:ascii="仿宋_GB2312" w:eastAsia="仿宋_GB2312"/>
          <w:sz w:val="32"/>
        </w:rPr>
        <w:t>（2）为了提高</w:t>
      </w:r>
      <w:r>
        <w:rPr>
          <w:rFonts w:hint="eastAsia" w:ascii="仿宋_GB2312" w:hAnsi="仿宋_GB2312" w:eastAsia="仿宋_GB2312"/>
          <w:sz w:val="32"/>
        </w:rPr>
        <w:t>重点优抚对象医疗救助资金</w:t>
      </w:r>
      <w:r>
        <w:rPr>
          <w:rFonts w:hint="eastAsia" w:ascii="仿宋_GB2312" w:eastAsia="仿宋_GB2312"/>
          <w:sz w:val="32"/>
        </w:rPr>
        <w:t>使用的准确性，县级民政部门要</w:t>
      </w:r>
      <w:r>
        <w:rPr>
          <w:rFonts w:hint="eastAsia" w:ascii="仿宋_GB2312" w:hAnsi="仿宋" w:eastAsia="仿宋_GB2312"/>
          <w:sz w:val="32"/>
        </w:rPr>
        <w:t>进一步完善入户核查机制，提高信息的准确性。</w:t>
      </w:r>
    </w:p>
    <w:p>
      <w:pPr>
        <w:adjustRightInd w:val="0"/>
        <w:snapToGrid w:val="0"/>
        <w:spacing w:line="360" w:lineRule="auto"/>
        <w:ind w:firstLine="480" w:firstLineChars="150"/>
        <w:rPr>
          <w:rFonts w:hint="eastAsia" w:ascii="仿宋_GB2312" w:eastAsia="仿宋_GB2312"/>
          <w:sz w:val="32"/>
        </w:rPr>
      </w:pPr>
      <w:r>
        <w:rPr>
          <w:rFonts w:hint="eastAsia" w:ascii="仿宋_GB2312" w:eastAsia="仿宋_GB2312"/>
          <w:sz w:val="32"/>
        </w:rPr>
        <w:t>（3）建议加快建立部门之间的信息共享体制，如户籍信息、社保保信息应尽快实现共享。</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D4623"/>
    <w:rsid w:val="4F555712"/>
    <w:rsid w:val="549D462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2018-09-11T02:39:00Z</dcterms:created>
  <dc:creator>Administrator</dc:creator>
  <cp:lastModifiedBy>Administrator</cp:lastModifiedBy>
  <dcterms:modified xsi:type="dcterms:W3CDTF">2018-09-28T02:57:23Z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