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ind w:firstLine="0" w:firstLineChars="0"/>
        <w:jc w:val="center"/>
        <w:rPr>
          <w:rFonts w:hint="eastAsia" w:ascii="黑体" w:hAnsi="黑体" w:eastAsia="黑体" w:cs="华文仿宋"/>
          <w:color w:val="000000" w:themeColor="text1"/>
          <w:kern w:val="0"/>
          <w:sz w:val="44"/>
          <w:szCs w:val="44"/>
          <w:highlight w:val="none"/>
          <w14:textFill>
            <w14:solidFill>
              <w14:schemeClr w14:val="tx1"/>
            </w14:solidFill>
          </w14:textFill>
        </w:rPr>
      </w:pPr>
      <w:r>
        <w:rPr>
          <w:rFonts w:hint="eastAsia" w:ascii="黑体" w:hAnsi="黑体" w:eastAsia="黑体" w:cs="华文仿宋"/>
          <w:color w:val="000000" w:themeColor="text1"/>
          <w:kern w:val="0"/>
          <w:sz w:val="44"/>
          <w:szCs w:val="44"/>
          <w:highlight w:val="none"/>
          <w14:textFill>
            <w14:solidFill>
              <w14:schemeClr w14:val="tx1"/>
            </w14:solidFill>
          </w14:textFill>
        </w:rPr>
        <w:t>福州市</w:t>
      </w:r>
      <w:r>
        <w:rPr>
          <w:rFonts w:hint="eastAsia" w:ascii="黑体" w:hAnsi="黑体" w:eastAsia="黑体" w:cs="华文仿宋"/>
          <w:color w:val="000000" w:themeColor="text1"/>
          <w:kern w:val="0"/>
          <w:sz w:val="44"/>
          <w:szCs w:val="44"/>
          <w:highlight w:val="none"/>
          <w:lang w:val="en-US" w:eastAsia="zh-CN"/>
          <w14:textFill>
            <w14:solidFill>
              <w14:schemeClr w14:val="tx1"/>
            </w14:solidFill>
          </w14:textFill>
        </w:rPr>
        <w:t>民政领域政府</w:t>
      </w:r>
      <w:r>
        <w:rPr>
          <w:rFonts w:hint="eastAsia" w:ascii="黑体" w:hAnsi="黑体" w:eastAsia="黑体" w:cs="华文仿宋"/>
          <w:color w:val="000000" w:themeColor="text1"/>
          <w:kern w:val="0"/>
          <w:sz w:val="44"/>
          <w:szCs w:val="44"/>
          <w:highlight w:val="none"/>
          <w14:textFill>
            <w14:solidFill>
              <w14:schemeClr w14:val="tx1"/>
            </w14:solidFill>
          </w14:textFill>
        </w:rPr>
        <w:t>购买社会工作服务项目</w:t>
      </w:r>
    </w:p>
    <w:p>
      <w:pPr>
        <w:pStyle w:val="18"/>
        <w:widowControl/>
        <w:ind w:firstLine="0" w:firstLineChars="0"/>
        <w:jc w:val="center"/>
        <w:rPr>
          <w:rFonts w:ascii="黑体" w:hAnsi="黑体" w:eastAsia="黑体" w:cs="华文仿宋"/>
          <w:color w:val="000000" w:themeColor="text1"/>
          <w:kern w:val="0"/>
          <w:sz w:val="44"/>
          <w:szCs w:val="44"/>
          <w:highlight w:val="none"/>
          <w14:textFill>
            <w14:solidFill>
              <w14:schemeClr w14:val="tx1"/>
            </w14:solidFill>
          </w14:textFill>
        </w:rPr>
      </w:pPr>
      <w:r>
        <w:rPr>
          <w:rFonts w:hint="eastAsia" w:ascii="黑体" w:hAnsi="黑体" w:eastAsia="黑体" w:cs="华文仿宋"/>
          <w:color w:val="000000" w:themeColor="text1"/>
          <w:kern w:val="0"/>
          <w:sz w:val="44"/>
          <w:szCs w:val="44"/>
          <w:highlight w:val="none"/>
          <w14:textFill>
            <w14:solidFill>
              <w14:schemeClr w14:val="tx1"/>
            </w14:solidFill>
          </w14:textFill>
        </w:rPr>
        <w:t>评估实施办法（征求意见稿）</w:t>
      </w:r>
    </w:p>
    <w:p>
      <w:pPr>
        <w:pStyle w:val="18"/>
        <w:widowControl/>
        <w:ind w:firstLine="0" w:firstLineChars="0"/>
        <w:jc w:val="center"/>
        <w:rPr>
          <w:rFonts w:cs="华文仿宋" w:asciiTheme="minorEastAsia" w:hAnsiTheme="minorEastAsia" w:eastAsiaTheme="minorEastAsia"/>
          <w:color w:val="000000" w:themeColor="text1"/>
          <w:kern w:val="0"/>
          <w:sz w:val="32"/>
          <w:szCs w:val="32"/>
          <w:highlight w:val="none"/>
          <w14:textFill>
            <w14:solidFill>
              <w14:schemeClr w14:val="tx1"/>
            </w14:solidFill>
          </w14:textFill>
        </w:rPr>
      </w:pP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第一章  总则</w:t>
      </w: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第一条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highlight w:val="none"/>
          <w14:textFill>
            <w14:solidFill>
              <w14:schemeClr w14:val="tx1"/>
            </w14:solidFill>
          </w14:textFill>
        </w:rPr>
        <w:t>为全面检验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我市民政领域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政府购买社会工作服务项目成果，客观评价财政资金使用效益，切实加强财政资金监管力度，同时不断规范社会组织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等社会工作服务项目承接机构</w:t>
      </w:r>
      <w:r>
        <w:rPr>
          <w:rFonts w:hint="eastAsia" w:ascii="仿宋" w:hAnsi="仿宋" w:eastAsia="仿宋" w:cs="仿宋"/>
          <w:color w:val="000000" w:themeColor="text1"/>
          <w:kern w:val="0"/>
          <w:sz w:val="32"/>
          <w:szCs w:val="32"/>
          <w:highlight w:val="none"/>
          <w14:textFill>
            <w14:solidFill>
              <w14:schemeClr w14:val="tx1"/>
            </w14:solidFill>
          </w14:textFill>
        </w:rPr>
        <w:t>运作，努力提升社会工作服务水平,推动全市社会工作健康发展，根据民政部《社会工作服务项目绩效评估指南MZ/T 059—2014》要求，结合当前福州市社会工作发展实际，制定本办法。</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第二条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本指引所称的考核评估，是指依照客观原则、科学评估方法、规范操作流程、特定评价内容和科学的操作方法，对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市民政领域政府</w:t>
      </w:r>
      <w:r>
        <w:rPr>
          <w:rFonts w:hint="eastAsia" w:ascii="仿宋" w:hAnsi="仿宋" w:eastAsia="仿宋" w:cs="仿宋"/>
          <w:color w:val="000000" w:themeColor="text1"/>
          <w:kern w:val="0"/>
          <w:sz w:val="32"/>
          <w:szCs w:val="32"/>
          <w:highlight w:val="none"/>
          <w14:textFill>
            <w14:solidFill>
              <w14:schemeClr w14:val="tx1"/>
            </w14:solidFill>
          </w14:textFill>
        </w:rPr>
        <w:t>购买社会工作服务项目合同的履行、服务目标达成度、受益群体满意度以及社会效益等情况进行检查、评价的过程。</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第三条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本办法适用于全部或部分运用财政资金（包括各级财政资金、相关部门和群团组织使用的相关资金以及政府管理的社会资金）向专业社会工作服务组织购买的社会工作服务项目的评估。其他通过社会筹资购买的社会工作服务项目，可参照本办法进行评估。</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第四条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为保证考核评估设计和操作的科学性，评估结果客观性，考核评估工作须遵循以下工作原则：</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（一）客观性原则。</w:t>
      </w:r>
      <w:r>
        <w:rPr>
          <w:rFonts w:hint="eastAsia" w:ascii="仿宋" w:hAnsi="仿宋" w:eastAsia="仿宋" w:cs="仿宋"/>
          <w:color w:val="000000" w:themeColor="text1"/>
          <w:kern w:val="0"/>
          <w:sz w:val="32"/>
          <w:szCs w:val="32"/>
          <w:highlight w:val="none"/>
          <w14:textFill>
            <w14:solidFill>
              <w14:schemeClr w14:val="tx1"/>
            </w14:solidFill>
          </w14:textFill>
        </w:rPr>
        <w:t>科学制定</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社会工作</w:t>
      </w:r>
      <w:r>
        <w:rPr>
          <w:rFonts w:hint="eastAsia" w:ascii="仿宋" w:hAnsi="仿宋" w:eastAsia="仿宋" w:cs="仿宋"/>
          <w:color w:val="000000" w:themeColor="text1"/>
          <w:kern w:val="0"/>
          <w:sz w:val="32"/>
          <w:szCs w:val="32"/>
          <w:highlight w:val="none"/>
          <w14:textFill>
            <w14:solidFill>
              <w14:schemeClr w14:val="tx1"/>
            </w14:solidFill>
          </w14:textFill>
        </w:rPr>
        <w:t>服务考核内容及标准，规范考核工作的流程与方法，有序开展考核工作。评估采取多元评价主体评估，自评和他评相结合，采用评分制。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（二）专业性原则。</w:t>
      </w:r>
      <w:r>
        <w:rPr>
          <w:rFonts w:hint="eastAsia" w:ascii="仿宋" w:hAnsi="仿宋" w:eastAsia="仿宋" w:cs="仿宋"/>
          <w:color w:val="000000" w:themeColor="text1"/>
          <w:kern w:val="0"/>
          <w:sz w:val="32"/>
          <w:szCs w:val="32"/>
          <w:highlight w:val="none"/>
          <w14:textFill>
            <w14:solidFill>
              <w14:schemeClr w14:val="tx1"/>
            </w14:solidFill>
          </w14:textFill>
        </w:rPr>
        <w:t>注重考察社会工作服务专业理论、方法和技巧在服务项目中的运用。</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（三）回避原则。</w:t>
      </w:r>
      <w:r>
        <w:rPr>
          <w:rFonts w:hint="eastAsia" w:ascii="仿宋" w:hAnsi="仿宋" w:eastAsia="仿宋" w:cs="仿宋"/>
          <w:color w:val="000000" w:themeColor="text1"/>
          <w:kern w:val="0"/>
          <w:sz w:val="32"/>
          <w:szCs w:val="32"/>
          <w:highlight w:val="none"/>
          <w14:textFill>
            <w14:solidFill>
              <w14:schemeClr w14:val="tx1"/>
            </w14:solidFill>
          </w14:textFill>
        </w:rPr>
        <w:t>评估机构及评估小组成员与所评项目不能存在利益关系。</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（四）保密原则。</w:t>
      </w:r>
      <w:r>
        <w:rPr>
          <w:rFonts w:hint="eastAsia" w:ascii="仿宋" w:hAnsi="仿宋" w:eastAsia="仿宋" w:cs="仿宋"/>
          <w:color w:val="000000" w:themeColor="text1"/>
          <w:kern w:val="0"/>
          <w:sz w:val="32"/>
          <w:szCs w:val="32"/>
          <w:highlight w:val="none"/>
          <w14:textFill>
            <w14:solidFill>
              <w14:schemeClr w14:val="tx1"/>
            </w14:solidFill>
          </w14:textFill>
        </w:rPr>
        <w:t>评估小组成员对评估资料应保密，不得用于除评估外的其他用途。</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（五）实效性原则。</w:t>
      </w:r>
      <w:r>
        <w:rPr>
          <w:rFonts w:hint="eastAsia" w:ascii="仿宋" w:hAnsi="仿宋" w:eastAsia="仿宋" w:cs="仿宋"/>
          <w:color w:val="000000" w:themeColor="text1"/>
          <w:kern w:val="0"/>
          <w:sz w:val="32"/>
          <w:szCs w:val="32"/>
          <w:highlight w:val="none"/>
          <w14:textFill>
            <w14:solidFill>
              <w14:schemeClr w14:val="tx1"/>
            </w14:solidFill>
          </w14:textFill>
        </w:rPr>
        <w:t>社会工作服务项目考核评估应抓住关键环节，突出重点内容，促进服务机构持续改进，提高质量与效果，保证服务对象受益。考核评估结果作为项目资金结算的重要参考依据。</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（六）规范化原则。</w:t>
      </w:r>
      <w:r>
        <w:rPr>
          <w:rFonts w:hint="eastAsia" w:ascii="仿宋" w:hAnsi="仿宋" w:eastAsia="仿宋" w:cs="仿宋"/>
          <w:color w:val="000000" w:themeColor="text1"/>
          <w:kern w:val="0"/>
          <w:sz w:val="32"/>
          <w:szCs w:val="32"/>
          <w:highlight w:val="none"/>
          <w14:textFill>
            <w14:solidFill>
              <w14:schemeClr w14:val="tx1"/>
            </w14:solidFill>
          </w14:textFill>
        </w:rPr>
        <w:t>规范化的方法论体系是项目评估的基本内容，保证项目的结构稳定，包括指标的内涵、考核范围、计算方法、评价参数、不确定性分析及指标计算。要求项目评估人员使用公认的标准化方法对项目进行评审和估算，项目评估人员在规范化</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kern w:val="0"/>
          <w:sz w:val="32"/>
          <w:szCs w:val="32"/>
          <w:highlight w:val="none"/>
          <w14:textFill>
            <w14:solidFill>
              <w14:schemeClr w14:val="tx1"/>
            </w14:solidFill>
          </w14:textFill>
        </w:rPr>
        <w:t>方法体系内开展评估，保证项目的公正合理。</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仿宋" w:hAnsi="仿宋" w:eastAsia="仿宋" w:cs="仿宋"/>
          <w:color w:val="000000" w:themeColor="text1"/>
          <w:kern w:val="0"/>
          <w:sz w:val="32"/>
          <w:szCs w:val="32"/>
          <w:highlight w:val="none"/>
          <w:shd w:val="clear" w:color="auto" w:fill="FFFFFF"/>
          <w14:textFill>
            <w14:solidFill>
              <w14:schemeClr w14:val="tx1"/>
            </w14:solidFill>
          </w14:textFill>
        </w:rPr>
      </w:pPr>
    </w:p>
    <w:p>
      <w:pPr>
        <w:pStyle w:val="18"/>
        <w:widowControl/>
        <w:numPr>
          <w:ilvl w:val="0"/>
          <w:numId w:val="1"/>
        </w:numPr>
        <w:adjustRightInd w:val="0"/>
        <w:snapToGrid w:val="0"/>
        <w:spacing w:line="360" w:lineRule="auto"/>
        <w:ind w:firstLine="0" w:firstLineChars="0"/>
        <w:jc w:val="center"/>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职责分工</w:t>
      </w:r>
    </w:p>
    <w:p>
      <w:pPr>
        <w:pStyle w:val="18"/>
        <w:widowControl/>
        <w:numPr>
          <w:ilvl w:val="0"/>
          <w:numId w:val="0"/>
        </w:numPr>
        <w:adjustRightInd w:val="0"/>
        <w:snapToGrid w:val="0"/>
        <w:spacing w:line="360" w:lineRule="auto"/>
        <w:jc w:val="both"/>
        <w:rPr>
          <w:rFonts w:hint="eastAsia" w:ascii="黑体" w:hAnsi="黑体" w:eastAsia="黑体" w:cs="黑体"/>
          <w:color w:val="000000" w:themeColor="text1"/>
          <w:kern w:val="0"/>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firstLine="640" w:firstLineChars="20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第五条 </w:t>
      </w:r>
      <w:r>
        <w:rPr>
          <w:rFonts w:hint="eastAsia" w:ascii="仿宋" w:hAnsi="仿宋" w:eastAsia="仿宋" w:cs="仿宋"/>
          <w:color w:val="000000" w:themeColor="text1"/>
          <w:kern w:val="0"/>
          <w:sz w:val="32"/>
          <w:szCs w:val="32"/>
          <w:highlight w:val="none"/>
          <w14:textFill>
            <w14:solidFill>
              <w14:schemeClr w14:val="tx1"/>
            </w14:solidFill>
          </w14:textFill>
        </w:rPr>
        <w:t>社会工作服务项目考核评估是一项系统复杂的工作，涉及</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社会工作服务购买主体</w:t>
      </w:r>
      <w:r>
        <w:rPr>
          <w:rFonts w:hint="eastAsia" w:ascii="仿宋" w:hAnsi="仿宋" w:eastAsia="仿宋" w:cs="仿宋"/>
          <w:color w:val="000000" w:themeColor="text1"/>
          <w:kern w:val="0"/>
          <w:sz w:val="32"/>
          <w:szCs w:val="32"/>
          <w:highlight w:val="none"/>
          <w14:textFill>
            <w14:solidFill>
              <w14:schemeClr w14:val="tx1"/>
            </w14:solidFill>
          </w14:textFill>
        </w:rPr>
        <w:t>、考核对象、评估执行单位（者）和服务对象等。具体职责如下：</w:t>
      </w:r>
    </w:p>
    <w:p>
      <w:pPr>
        <w:pStyle w:val="9"/>
        <w:keepNext w:val="0"/>
        <w:keepLines w:val="0"/>
        <w:pageBreakBefore w:val="0"/>
        <w:kinsoku/>
        <w:wordWrap/>
        <w:overflowPunct/>
        <w:topLinePunct w:val="0"/>
        <w:autoSpaceDE/>
        <w:autoSpaceDN/>
        <w:bidi w:val="0"/>
        <w:spacing w:beforeAutospacing="0" w:afterAutospacing="0" w:line="360" w:lineRule="auto"/>
        <w:ind w:firstLine="643"/>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（一）购买主体。</w:t>
      </w:r>
      <w:r>
        <w:rPr>
          <w:rFonts w:hint="eastAsia" w:ascii="仿宋" w:hAnsi="仿宋" w:eastAsia="仿宋" w:cs="仿宋"/>
          <w:color w:val="000000" w:themeColor="text1"/>
          <w:kern w:val="0"/>
          <w:sz w:val="32"/>
          <w:szCs w:val="32"/>
          <w:highlight w:val="none"/>
          <w14:textFill>
            <w14:solidFill>
              <w14:schemeClr w14:val="tx1"/>
            </w14:solidFill>
          </w14:textFill>
        </w:rPr>
        <w:t>购买主体是</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市、县（市）区</w:t>
      </w:r>
      <w:r>
        <w:rPr>
          <w:rFonts w:hint="eastAsia" w:ascii="仿宋" w:hAnsi="仿宋" w:eastAsia="仿宋" w:cs="仿宋"/>
          <w:color w:val="000000" w:themeColor="text1"/>
          <w:kern w:val="0"/>
          <w:sz w:val="32"/>
          <w:szCs w:val="32"/>
          <w:highlight w:val="none"/>
          <w14:textFill>
            <w14:solidFill>
              <w14:schemeClr w14:val="tx1"/>
            </w14:solidFill>
          </w14:textFill>
        </w:rPr>
        <w:t>各级行政机关和参照公务员法管理且具有行政管理职能的事业单位，</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以及乡镇人民政府和街道办事处。基层群众自治组织可根据需要和规定自行组织采购社会工作服务，但不作为民政领域政府购买社会工作服务的购买主体。</w:t>
      </w:r>
      <w:r>
        <w:rPr>
          <w:rFonts w:hint="eastAsia" w:ascii="仿宋" w:hAnsi="仿宋" w:eastAsia="仿宋" w:cs="仿宋"/>
          <w:color w:val="000000" w:themeColor="text1"/>
          <w:kern w:val="0"/>
          <w:sz w:val="32"/>
          <w:szCs w:val="32"/>
          <w:highlight w:val="none"/>
          <w14:textFill>
            <w14:solidFill>
              <w14:schemeClr w14:val="tx1"/>
            </w14:solidFill>
          </w14:textFill>
        </w:rPr>
        <w:t>负责确定评估方式和评估执行方，落实评估经费，统筹评估相关事宜，做好评估工作的监管。</w:t>
      </w:r>
    </w:p>
    <w:p>
      <w:pPr>
        <w:pStyle w:val="1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（二）考核对象。</w:t>
      </w:r>
      <w:r>
        <w:rPr>
          <w:rFonts w:hint="eastAsia" w:ascii="仿宋" w:hAnsi="仿宋" w:eastAsia="仿宋" w:cs="仿宋"/>
          <w:color w:val="000000" w:themeColor="text1"/>
          <w:kern w:val="0"/>
          <w:sz w:val="32"/>
          <w:szCs w:val="32"/>
          <w:highlight w:val="none"/>
          <w14:textFill>
            <w14:solidFill>
              <w14:schemeClr w14:val="tx1"/>
            </w14:solidFill>
          </w14:textFill>
        </w:rPr>
        <w:t>社会工作服务承接主体负责组织人员落实自评报告的撰写或者自评总结工作</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向</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购买主体或其委托的第三方评估机构</w:t>
      </w:r>
      <w:r>
        <w:rPr>
          <w:rFonts w:hint="eastAsia" w:ascii="仿宋" w:hAnsi="仿宋" w:eastAsia="仿宋" w:cs="仿宋"/>
          <w:color w:val="000000" w:themeColor="text1"/>
          <w:kern w:val="0"/>
          <w:sz w:val="32"/>
          <w:szCs w:val="32"/>
          <w:highlight w:val="none"/>
          <w14:textFill>
            <w14:solidFill>
              <w14:schemeClr w14:val="tx1"/>
            </w14:solidFill>
          </w14:textFill>
        </w:rPr>
        <w:t>提交评估资料</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参与实地考核评估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协调服务对象及其他利益相关</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方</w:t>
      </w:r>
      <w:r>
        <w:rPr>
          <w:rFonts w:hint="eastAsia" w:ascii="仿宋" w:hAnsi="仿宋" w:eastAsia="仿宋" w:cs="仿宋"/>
          <w:color w:val="000000" w:themeColor="text1"/>
          <w:kern w:val="0"/>
          <w:sz w:val="32"/>
          <w:szCs w:val="32"/>
          <w:highlight w:val="none"/>
          <w14:textFill>
            <w14:solidFill>
              <w14:schemeClr w14:val="tx1"/>
            </w14:solidFill>
          </w14:textFill>
        </w:rPr>
        <w:t>参与评估调查等工作。</w:t>
      </w:r>
    </w:p>
    <w:p>
      <w:pPr>
        <w:pStyle w:val="1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（三）评估执行单位。</w:t>
      </w:r>
      <w:r>
        <w:rPr>
          <w:rFonts w:hint="eastAsia" w:ascii="仿宋" w:hAnsi="仿宋" w:eastAsia="仿宋" w:cs="仿宋"/>
          <w:color w:val="000000" w:themeColor="text1"/>
          <w:kern w:val="0"/>
          <w:sz w:val="32"/>
          <w:szCs w:val="32"/>
          <w:highlight w:val="none"/>
          <w14:textFill>
            <w14:solidFill>
              <w14:schemeClr w14:val="tx1"/>
            </w14:solidFill>
          </w14:textFill>
        </w:rPr>
        <w:t>受委托的第三方评估机构、评估执行团队等必须严格按照科学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kern w:val="0"/>
          <w:sz w:val="32"/>
          <w:szCs w:val="32"/>
          <w:highlight w:val="none"/>
          <w14:textFill>
            <w14:solidFill>
              <w14:schemeClr w14:val="tx1"/>
            </w14:solidFill>
          </w14:textFill>
        </w:rPr>
        <w:t>评估方法、标准和程序开展考核评估，制定评估计划、明确评估内容、设计评估指标、组织评估小组、实施评估工作、撰写评估总结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提供</w:t>
      </w:r>
      <w:r>
        <w:rPr>
          <w:rFonts w:hint="eastAsia" w:ascii="仿宋" w:hAnsi="仿宋" w:eastAsia="仿宋" w:cs="仿宋"/>
          <w:color w:val="000000" w:themeColor="text1"/>
          <w:kern w:val="0"/>
          <w:sz w:val="32"/>
          <w:szCs w:val="32"/>
          <w:highlight w:val="none"/>
          <w14:textFill>
            <w14:solidFill>
              <w14:schemeClr w14:val="tx1"/>
            </w14:solidFill>
          </w14:textFill>
        </w:rPr>
        <w:t>单位及专家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kern w:val="0"/>
          <w:sz w:val="32"/>
          <w:szCs w:val="32"/>
          <w:highlight w:val="none"/>
          <w14:textFill>
            <w14:solidFill>
              <w14:schemeClr w14:val="tx1"/>
            </w14:solidFill>
          </w14:textFill>
        </w:rPr>
        <w:t>相关</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资质</w:t>
      </w:r>
      <w:r>
        <w:rPr>
          <w:rFonts w:hint="eastAsia" w:ascii="仿宋" w:hAnsi="仿宋" w:eastAsia="仿宋" w:cs="仿宋"/>
          <w:color w:val="000000" w:themeColor="text1"/>
          <w:kern w:val="0"/>
          <w:sz w:val="32"/>
          <w:szCs w:val="32"/>
          <w:highlight w:val="none"/>
          <w14:textFill>
            <w14:solidFill>
              <w14:schemeClr w14:val="tx1"/>
            </w14:solidFill>
          </w14:textFill>
        </w:rPr>
        <w:t>资料。任何其他组织和个人不得</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非法</w:t>
      </w:r>
      <w:r>
        <w:rPr>
          <w:rFonts w:hint="eastAsia" w:ascii="仿宋" w:hAnsi="仿宋" w:eastAsia="仿宋" w:cs="仿宋"/>
          <w:color w:val="000000" w:themeColor="text1"/>
          <w:kern w:val="0"/>
          <w:sz w:val="32"/>
          <w:szCs w:val="32"/>
          <w:highlight w:val="none"/>
          <w14:textFill>
            <w14:solidFill>
              <w14:schemeClr w14:val="tx1"/>
            </w14:solidFill>
          </w14:textFill>
        </w:rPr>
        <w:t>干预第三方评估机构、</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考核评估小组等</w:t>
      </w:r>
      <w:r>
        <w:rPr>
          <w:rFonts w:hint="eastAsia" w:ascii="仿宋" w:hAnsi="仿宋" w:eastAsia="仿宋" w:cs="仿宋"/>
          <w:color w:val="000000" w:themeColor="text1"/>
          <w:kern w:val="0"/>
          <w:sz w:val="32"/>
          <w:szCs w:val="32"/>
          <w:highlight w:val="none"/>
          <w14:textFill>
            <w14:solidFill>
              <w14:schemeClr w14:val="tx1"/>
            </w14:solidFill>
          </w14:textFill>
        </w:rPr>
        <w:t>独立开展考核评估工作。</w:t>
      </w:r>
    </w:p>
    <w:p>
      <w:pPr>
        <w:pStyle w:val="1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（四）服务对象及其他利益相关方。</w:t>
      </w:r>
      <w:r>
        <w:rPr>
          <w:rFonts w:hint="eastAsia" w:ascii="仿宋" w:hAnsi="仿宋" w:eastAsia="仿宋" w:cs="仿宋"/>
          <w:color w:val="000000" w:themeColor="text1"/>
          <w:kern w:val="0"/>
          <w:sz w:val="32"/>
          <w:szCs w:val="32"/>
          <w:highlight w:val="none"/>
          <w14:textFill>
            <w14:solidFill>
              <w14:schemeClr w14:val="tx1"/>
            </w14:solidFill>
          </w14:textFill>
        </w:rPr>
        <w:t>第三方评估需注重服务对象和服务合作伙伴等其他利益相关主体对社会工作服务的运作情况和结果评价。评估团队鼓励服务对象及其他利益相关方参与对社会工作服务的运作情况和效果、结果的评估工作，提供真实的信息和反馈。</w:t>
      </w:r>
    </w:p>
    <w:p>
      <w:pPr>
        <w:adjustRightInd w:val="0"/>
        <w:snapToGrid w:val="0"/>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第三章 评估形式和资质要求</w:t>
      </w:r>
    </w:p>
    <w:p>
      <w:pPr>
        <w:adjustRightInd w:val="0"/>
        <w:snapToGrid w:val="0"/>
        <w:spacing w:line="360" w:lineRule="auto"/>
        <w:ind w:firstLine="1904" w:firstLineChars="595"/>
        <w:rPr>
          <w:rFonts w:ascii="仿宋" w:hAnsi="仿宋" w:eastAsia="仿宋" w:cs="仿宋"/>
          <w:b/>
          <w:bCs/>
          <w:color w:val="000000" w:themeColor="text1"/>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第六条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评估形式。对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我市民政领域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政府购买社会工作服务项目的评估主要采取自评和评估小组实地评估相结合的形式进行，评估采取评分制。评估过程包括但不限于听取社会工作服务项目执行情况介绍</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查阅社会工作服务项目各类原始档案资料、服务文书、会计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账簿、支出明细</w:t>
      </w:r>
      <w:r>
        <w:rPr>
          <w:rFonts w:hint="eastAsia" w:ascii="仿宋" w:hAnsi="仿宋" w:eastAsia="仿宋" w:cs="仿宋"/>
          <w:color w:val="000000" w:themeColor="text1"/>
          <w:kern w:val="0"/>
          <w:sz w:val="32"/>
          <w:szCs w:val="32"/>
          <w:highlight w:val="none"/>
          <w14:textFill>
            <w14:solidFill>
              <w14:schemeClr w14:val="tx1"/>
            </w14:solidFill>
          </w14:textFill>
        </w:rPr>
        <w:t>、报表等相关记录，进行个别访谈、电话访问、座谈会、问卷调查等，听取相关工作人员、服务对象、利益相关方等对项目服务情况的反映和意见，结合评估标准一一进行检查、评分和综合评价，形成评估报告。</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第七条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社会工作服务项目购买主体可通过委托、公开招标、竞争性磋商等方式遴选第三方评估机构负责执行社会工作服务项目考核评估工作。第三方评估机构应具备以下资质：</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（一）具有独立法人资格，在国内注册的民办非企业单位、社会团体、科研院所且具有相应的</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业务</w:t>
      </w:r>
      <w:r>
        <w:rPr>
          <w:rFonts w:hint="eastAsia" w:ascii="仿宋" w:hAnsi="仿宋" w:eastAsia="仿宋" w:cs="仿宋"/>
          <w:color w:val="000000" w:themeColor="text1"/>
          <w:kern w:val="0"/>
          <w:sz w:val="32"/>
          <w:szCs w:val="32"/>
          <w:highlight w:val="none"/>
          <w14:textFill>
            <w14:solidFill>
              <w14:schemeClr w14:val="tx1"/>
            </w14:solidFill>
          </w14:textFill>
        </w:rPr>
        <w:t>范围，具有合法有效的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登记证书</w:t>
      </w:r>
      <w:r>
        <w:rPr>
          <w:rFonts w:hint="eastAsia" w:ascii="仿宋" w:hAnsi="仿宋" w:eastAsia="仿宋" w:cs="仿宋"/>
          <w:color w:val="000000" w:themeColor="text1"/>
          <w:kern w:val="0"/>
          <w:sz w:val="32"/>
          <w:szCs w:val="32"/>
          <w:highlight w:val="none"/>
          <w14:textFill>
            <w14:solidFill>
              <w14:schemeClr w14:val="tx1"/>
            </w14:solidFill>
          </w14:textFill>
        </w:rPr>
        <w:t>或营业执照，能够独立承担民事责任；</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kern w:val="0"/>
          <w:sz w:val="32"/>
          <w:szCs w:val="32"/>
          <w:highlight w:val="none"/>
          <w14:textFill>
            <w14:solidFill>
              <w14:schemeClr w14:val="tx1"/>
            </w14:solidFill>
          </w14:textFill>
        </w:rPr>
        <w:t>）能够提供社会工作服务项目考核评估工作所需场所和设施；</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（三）组织机构健全，内部治理规范，相关业绩评价良好；</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（四）近3年内无违法违规等不良信用记录；成立不满3年的，自成立之日起，无违法违规等不良信用记录；</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（五）</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建有</w:t>
      </w:r>
      <w:r>
        <w:rPr>
          <w:rFonts w:hint="eastAsia" w:ascii="仿宋" w:hAnsi="仿宋" w:eastAsia="仿宋" w:cs="仿宋"/>
          <w:color w:val="000000" w:themeColor="text1"/>
          <w:kern w:val="0"/>
          <w:sz w:val="32"/>
          <w:szCs w:val="32"/>
          <w:highlight w:val="none"/>
          <w14:textFill>
            <w14:solidFill>
              <w14:schemeClr w14:val="tx1"/>
            </w14:solidFill>
          </w14:textFill>
        </w:rPr>
        <w:t xml:space="preserve">与社会工作服务考核评估工作相匹配、相对稳定的专业评估人才队伍。 </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（六）机构自身未承接本次评估的社会工作服务项目。</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第八条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社会工作服务项目购买主体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或委托的第三方评估机构</w:t>
      </w:r>
      <w:r>
        <w:rPr>
          <w:rFonts w:hint="eastAsia" w:ascii="仿宋" w:hAnsi="仿宋" w:eastAsia="仿宋" w:cs="仿宋"/>
          <w:color w:val="000000" w:themeColor="text1"/>
          <w:kern w:val="0"/>
          <w:sz w:val="32"/>
          <w:szCs w:val="32"/>
          <w:highlight w:val="none"/>
          <w14:textFill>
            <w14:solidFill>
              <w14:schemeClr w14:val="tx1"/>
            </w14:solidFill>
          </w14:textFill>
        </w:rPr>
        <w:t>可组建考核评估小组开展评估工作，参与社会工作服务项目考核评估工作的评估员应同时符合下列条件规定：</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（一）与参评社会工作服务承接主体不存在冲突且无任何利益关系；</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（二）熟悉社会工作服务的相关政策、专业理论、专业方法和项目设计与运营管理知识，了解评估的概念、专业术语、评估理论、评估类型及相应的评估方法；</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（三）参与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政府购买社会工作服务项目的评估人员一般由专业评估员</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和财务评估员组成；</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kern w:val="0"/>
          <w:sz w:val="32"/>
          <w:szCs w:val="32"/>
          <w:highlight w:val="none"/>
          <w14:textFill>
            <w14:solidFill>
              <w14:schemeClr w14:val="tx1"/>
            </w14:solidFill>
          </w14:textFill>
        </w:rPr>
        <w:t>）专业评估员的条件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专业评估员是指符合下列条件之一的人员：</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.福建省、</w:t>
      </w:r>
      <w:r>
        <w:rPr>
          <w:rFonts w:hint="eastAsia" w:ascii="仿宋" w:hAnsi="仿宋" w:eastAsia="仿宋" w:cs="仿宋"/>
          <w:color w:val="000000" w:themeColor="text1"/>
          <w:kern w:val="0"/>
          <w:sz w:val="32"/>
          <w:szCs w:val="32"/>
          <w:highlight w:val="none"/>
          <w14:textFill>
            <w14:solidFill>
              <w14:schemeClr w14:val="tx1"/>
            </w14:solidFill>
          </w14:textFill>
        </w:rPr>
        <w:t>福州市社会工作专家库成员或社会工作其他业务主管部门成立的相关专家库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成员</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2.持有</w:t>
      </w:r>
      <w:r>
        <w:rPr>
          <w:rFonts w:hint="eastAsia" w:ascii="仿宋" w:hAnsi="仿宋" w:eastAsia="仿宋" w:cs="仿宋"/>
          <w:color w:val="000000" w:themeColor="text1"/>
          <w:kern w:val="0"/>
          <w:sz w:val="32"/>
          <w:szCs w:val="32"/>
          <w:highlight w:val="none"/>
          <w14:textFill>
            <w14:solidFill>
              <w14:schemeClr w14:val="tx1"/>
            </w14:solidFill>
          </w14:textFill>
        </w:rPr>
        <w:t>与评估相关的社会工作专业背景的高校讲师或以上职称；</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持有高级社工师资格证书；</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持有中级社工师资格证书且从事</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社会工作</w:t>
      </w:r>
      <w:r>
        <w:rPr>
          <w:rFonts w:hint="eastAsia" w:ascii="仿宋" w:hAnsi="仿宋" w:eastAsia="仿宋" w:cs="仿宋"/>
          <w:color w:val="000000" w:themeColor="text1"/>
          <w:kern w:val="0"/>
          <w:sz w:val="32"/>
          <w:szCs w:val="32"/>
          <w:highlight w:val="none"/>
          <w14:textFill>
            <w14:solidFill>
              <w14:schemeClr w14:val="tx1"/>
            </w14:solidFill>
          </w14:textFill>
        </w:rPr>
        <w:t>相关领域工作不少于5年；</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具有社会工作服务领域的研究成果且近两年的实务督导项目不少于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r>
        <w:rPr>
          <w:rFonts w:hint="eastAsia" w:ascii="仿宋" w:hAnsi="仿宋" w:eastAsia="仿宋" w:cs="仿宋"/>
          <w:color w:val="000000" w:themeColor="text1"/>
          <w:kern w:val="0"/>
          <w:sz w:val="32"/>
          <w:szCs w:val="32"/>
          <w:highlight w:val="none"/>
          <w14:textFill>
            <w14:solidFill>
              <w14:schemeClr w14:val="tx1"/>
            </w14:solidFill>
          </w14:textFill>
        </w:rPr>
        <w:t>个；</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持有中级社工师且近3年负责过同类社会工作服务项目管理不少于5个且评估结果为优秀；</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持有中级社工师且</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近两年承</w:t>
      </w:r>
      <w:r>
        <w:rPr>
          <w:rFonts w:hint="eastAsia" w:ascii="仿宋" w:hAnsi="仿宋" w:eastAsia="仿宋" w:cs="仿宋"/>
          <w:color w:val="000000" w:themeColor="text1"/>
          <w:kern w:val="0"/>
          <w:sz w:val="32"/>
          <w:szCs w:val="32"/>
          <w:highlight w:val="none"/>
          <w14:textFill>
            <w14:solidFill>
              <w14:schemeClr w14:val="tx1"/>
            </w14:solidFill>
          </w14:textFill>
        </w:rPr>
        <w:t>接运营社会工作服务项目总额不少于100万元；</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r>
        <w:rPr>
          <w:rFonts w:hint="eastAsia" w:ascii="仿宋" w:hAnsi="仿宋" w:eastAsia="仿宋" w:cs="仿宋"/>
          <w:color w:val="000000" w:themeColor="text1"/>
          <w:kern w:val="0"/>
          <w:sz w:val="32"/>
          <w:szCs w:val="32"/>
          <w:highlight w:val="none"/>
          <w14:textFill>
            <w14:solidFill>
              <w14:schemeClr w14:val="tx1"/>
            </w14:solidFill>
          </w14:textFill>
        </w:rPr>
        <w:t>持有中级社工师且近两年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主持</w:t>
      </w:r>
      <w:r>
        <w:rPr>
          <w:rFonts w:hint="eastAsia" w:ascii="仿宋" w:hAnsi="仿宋" w:eastAsia="仿宋" w:cs="仿宋"/>
          <w:color w:val="000000" w:themeColor="text1"/>
          <w:kern w:val="0"/>
          <w:sz w:val="32"/>
          <w:szCs w:val="32"/>
          <w:highlight w:val="none"/>
          <w14:textFill>
            <w14:solidFill>
              <w14:schemeClr w14:val="tx1"/>
            </w14:solidFill>
          </w14:textFill>
        </w:rPr>
        <w:t>同类项目评估不少于5个，参与第三方同类项目评估两年内不少于10个</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福州市、各县（市）区相关部门熟悉社会工作及政府购买社会工作服务的人员</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kern w:val="0"/>
          <w:sz w:val="32"/>
          <w:szCs w:val="32"/>
          <w:highlight w:val="none"/>
          <w14:textFill>
            <w14:solidFill>
              <w14:schemeClr w14:val="tx1"/>
            </w14:solidFill>
          </w14:textFill>
        </w:rPr>
        <w:t>）财务评估员</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的条件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财务评估员</w:t>
      </w:r>
      <w:r>
        <w:rPr>
          <w:rFonts w:hint="eastAsia" w:ascii="仿宋" w:hAnsi="仿宋" w:eastAsia="仿宋" w:cs="仿宋"/>
          <w:color w:val="000000" w:themeColor="text1"/>
          <w:kern w:val="0"/>
          <w:sz w:val="32"/>
          <w:szCs w:val="32"/>
          <w:highlight w:val="none"/>
          <w14:textFill>
            <w14:solidFill>
              <w14:schemeClr w14:val="tx1"/>
            </w14:solidFill>
          </w14:textFill>
        </w:rPr>
        <w:t>是指符合下列条件之一的人员：</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福州市、各县（市）区财政局及政府各相关部门熟悉财务工作人员</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持有会计从业资格证书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且从事民办非营利性社会组织</w:t>
      </w:r>
      <w:r>
        <w:rPr>
          <w:rFonts w:hint="eastAsia" w:ascii="仿宋" w:hAnsi="仿宋" w:eastAsia="仿宋" w:cs="仿宋"/>
          <w:color w:val="000000" w:themeColor="text1"/>
          <w:kern w:val="0"/>
          <w:sz w:val="32"/>
          <w:szCs w:val="32"/>
          <w:highlight w:val="none"/>
          <w14:textFill>
            <w14:solidFill>
              <w14:schemeClr w14:val="tx1"/>
            </w14:solidFill>
          </w14:textFill>
        </w:rPr>
        <w:t>财务工作</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不少于</w:t>
      </w:r>
      <w:r>
        <w:rPr>
          <w:rFonts w:hint="eastAsia" w:ascii="仿宋" w:hAnsi="仿宋" w:eastAsia="仿宋" w:cs="仿宋"/>
          <w:color w:val="000000" w:themeColor="text1"/>
          <w:kern w:val="0"/>
          <w:sz w:val="32"/>
          <w:szCs w:val="32"/>
          <w:highlight w:val="none"/>
          <w14:textFill>
            <w14:solidFill>
              <w14:schemeClr w14:val="tx1"/>
            </w14:solidFill>
          </w14:textFill>
        </w:rPr>
        <w:t>3年的财务工作人员。</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color w:val="000000" w:themeColor="text1"/>
          <w:kern w:val="0"/>
          <w:sz w:val="32"/>
          <w:szCs w:val="32"/>
          <w:highlight w:val="none"/>
          <w14:textFill>
            <w14:solidFill>
              <w14:schemeClr w14:val="tx1"/>
            </w14:solidFill>
          </w14:textFill>
        </w:rPr>
        <w:t>）评估小组工作协调员（联络员）的条件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评估小组工作协调员（联络员）应熟悉社会工作服务项目评估，大学本科及以上的学历</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或持有助理社工师证，</w:t>
      </w:r>
      <w:r>
        <w:rPr>
          <w:rFonts w:hint="eastAsia" w:ascii="仿宋" w:hAnsi="仿宋" w:eastAsia="仿宋" w:cs="仿宋"/>
          <w:color w:val="000000" w:themeColor="text1"/>
          <w:kern w:val="0"/>
          <w:sz w:val="32"/>
          <w:szCs w:val="32"/>
          <w:highlight w:val="none"/>
          <w14:textFill>
            <w14:solidFill>
              <w14:schemeClr w14:val="tx1"/>
            </w14:solidFill>
          </w14:textFill>
        </w:rPr>
        <w:t>开展评估工作经验不少于1年。</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kern w:val="0"/>
          <w:sz w:val="32"/>
          <w:szCs w:val="32"/>
          <w:highlight w:val="none"/>
          <w14:textFill>
            <w14:solidFill>
              <w14:schemeClr w14:val="tx1"/>
            </w14:solidFill>
          </w14:textFill>
        </w:rPr>
        <w:t>）近3年内无违法违规等不良信用记录</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第九条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由第三方评估机构组建的评估组</w:t>
      </w:r>
      <w:r>
        <w:rPr>
          <w:rFonts w:hint="eastAsia" w:ascii="仿宋" w:hAnsi="仿宋" w:eastAsia="仿宋" w:cs="仿宋"/>
          <w:color w:val="000000" w:themeColor="text1"/>
          <w:kern w:val="0"/>
          <w:sz w:val="32"/>
          <w:szCs w:val="32"/>
          <w:highlight w:val="none"/>
          <w14:textFill>
            <w14:solidFill>
              <w14:schemeClr w14:val="tx1"/>
            </w14:solidFill>
          </w14:textFill>
        </w:rPr>
        <w:t>人员配置及人数应符合以下条件：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w:t>
      </w:r>
      <w:r>
        <w:rPr>
          <w:rFonts w:hint="eastAsia" w:ascii="仿宋" w:hAnsi="仿宋" w:eastAsia="仿宋" w:cs="仿宋"/>
          <w:color w:val="000000" w:themeColor="text1"/>
          <w:kern w:val="0"/>
          <w:sz w:val="32"/>
          <w:szCs w:val="32"/>
          <w:highlight w:val="none"/>
          <w14:textFill>
            <w14:solidFill>
              <w14:schemeClr w14:val="tx1"/>
            </w14:solidFill>
          </w14:textFill>
        </w:rPr>
        <w:t>项目规模为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万元（含）</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以下</w:t>
      </w:r>
      <w:r>
        <w:rPr>
          <w:rFonts w:hint="eastAsia" w:ascii="仿宋" w:hAnsi="仿宋" w:eastAsia="仿宋" w:cs="仿宋"/>
          <w:color w:val="000000" w:themeColor="text1"/>
          <w:kern w:val="0"/>
          <w:sz w:val="32"/>
          <w:szCs w:val="32"/>
          <w:highlight w:val="none"/>
          <w14:textFill>
            <w14:solidFill>
              <w14:schemeClr w14:val="tx1"/>
            </w14:solidFill>
          </w14:textFill>
        </w:rPr>
        <w:t>的，</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应</w:t>
      </w:r>
      <w:r>
        <w:rPr>
          <w:rFonts w:hint="eastAsia" w:ascii="仿宋" w:hAnsi="仿宋" w:eastAsia="仿宋" w:cs="仿宋"/>
          <w:color w:val="000000" w:themeColor="text1"/>
          <w:kern w:val="0"/>
          <w:sz w:val="32"/>
          <w:szCs w:val="32"/>
          <w:highlight w:val="none"/>
          <w14:textFill>
            <w14:solidFill>
              <w14:schemeClr w14:val="tx1"/>
            </w14:solidFill>
          </w14:textFill>
        </w:rPr>
        <w:t>配备2名专业评估员和1名财务评估员；</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w:t>
      </w:r>
      <w:r>
        <w:rPr>
          <w:rFonts w:hint="eastAsia" w:ascii="仿宋" w:hAnsi="仿宋" w:eastAsia="仿宋" w:cs="仿宋"/>
          <w:color w:val="000000" w:themeColor="text1"/>
          <w:kern w:val="0"/>
          <w:sz w:val="32"/>
          <w:szCs w:val="32"/>
          <w:highlight w:val="none"/>
          <w14:textFill>
            <w14:solidFill>
              <w14:schemeClr w14:val="tx1"/>
            </w14:solidFill>
          </w14:textFill>
        </w:rPr>
        <w:t>项目规模为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万元（</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kern w:val="0"/>
          <w:sz w:val="32"/>
          <w:szCs w:val="32"/>
          <w:highlight w:val="none"/>
          <w14:textFill>
            <w14:solidFill>
              <w14:schemeClr w14:val="tx1"/>
            </w14:solidFill>
          </w14:textFill>
        </w:rPr>
        <w:t>含）-50万元（含），</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应</w:t>
      </w:r>
      <w:r>
        <w:rPr>
          <w:rFonts w:hint="eastAsia" w:ascii="仿宋" w:hAnsi="仿宋" w:eastAsia="仿宋" w:cs="仿宋"/>
          <w:color w:val="000000" w:themeColor="text1"/>
          <w:kern w:val="0"/>
          <w:sz w:val="32"/>
          <w:szCs w:val="32"/>
          <w:highlight w:val="none"/>
          <w14:textFill>
            <w14:solidFill>
              <w14:schemeClr w14:val="tx1"/>
            </w14:solidFill>
          </w14:textFill>
        </w:rPr>
        <w:t>配备3名专业评估员和1名财务评估员；</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w:t>
      </w:r>
      <w:r>
        <w:rPr>
          <w:rFonts w:hint="eastAsia" w:ascii="仿宋" w:hAnsi="仿宋" w:eastAsia="仿宋" w:cs="仿宋"/>
          <w:color w:val="000000" w:themeColor="text1"/>
          <w:kern w:val="0"/>
          <w:sz w:val="32"/>
          <w:szCs w:val="32"/>
          <w:highlight w:val="none"/>
          <w14:textFill>
            <w14:solidFill>
              <w14:schemeClr w14:val="tx1"/>
            </w14:solidFill>
          </w14:textFill>
        </w:rPr>
        <w:t>项目规模为50万元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含）</w:t>
      </w:r>
      <w:r>
        <w:rPr>
          <w:rFonts w:hint="eastAsia" w:ascii="仿宋" w:hAnsi="仿宋" w:eastAsia="仿宋" w:cs="仿宋"/>
          <w:color w:val="000000" w:themeColor="text1"/>
          <w:kern w:val="0"/>
          <w:sz w:val="32"/>
          <w:szCs w:val="32"/>
          <w:highlight w:val="none"/>
          <w14:textFill>
            <w14:solidFill>
              <w14:schemeClr w14:val="tx1"/>
            </w14:solidFill>
          </w14:textFill>
        </w:rPr>
        <w:t>以上的，</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应</w:t>
      </w:r>
      <w:r>
        <w:rPr>
          <w:rFonts w:hint="eastAsia" w:ascii="仿宋" w:hAnsi="仿宋" w:eastAsia="仿宋" w:cs="仿宋"/>
          <w:color w:val="000000" w:themeColor="text1"/>
          <w:kern w:val="0"/>
          <w:sz w:val="32"/>
          <w:szCs w:val="32"/>
          <w:highlight w:val="none"/>
          <w14:textFill>
            <w14:solidFill>
              <w14:schemeClr w14:val="tx1"/>
            </w14:solidFill>
          </w14:textFill>
        </w:rPr>
        <w:t>配备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名专业评估人员和1名财务评估员；</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若购买主体在委托第三方评估的同时，另行委托了会计师事务所</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进行</w:t>
      </w:r>
      <w:r>
        <w:rPr>
          <w:rFonts w:hint="eastAsia" w:ascii="仿宋" w:hAnsi="仿宋" w:eastAsia="仿宋" w:cs="仿宋"/>
          <w:color w:val="000000" w:themeColor="text1"/>
          <w:kern w:val="0"/>
          <w:sz w:val="32"/>
          <w:szCs w:val="32"/>
          <w:highlight w:val="none"/>
          <w14:textFill>
            <w14:solidFill>
              <w14:schemeClr w14:val="tx1"/>
            </w14:solidFill>
          </w14:textFill>
        </w:rPr>
        <w:t>第三方审计，则评估组的财务评估人员可适当</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删减</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由购买主体自行组织进行的评估所需配备的评估人员数量参照执行，具体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可</w:t>
      </w:r>
      <w:r>
        <w:rPr>
          <w:rFonts w:hint="eastAsia" w:ascii="仿宋" w:hAnsi="仿宋" w:eastAsia="仿宋" w:cs="仿宋"/>
          <w:color w:val="000000" w:themeColor="text1"/>
          <w:kern w:val="0"/>
          <w:sz w:val="32"/>
          <w:szCs w:val="32"/>
          <w:highlight w:val="none"/>
          <w14:textFill>
            <w14:solidFill>
              <w14:schemeClr w14:val="tx1"/>
            </w14:solidFill>
          </w14:textFill>
        </w:rPr>
        <w:t>根据实际情况进行调整。</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项目评估一般分中期评估和末期评估。具体由购买主体结合项目周期及项目拨付情况确定是否安排中期评估。</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项目经费不超过5万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元</w:t>
      </w:r>
      <w:r>
        <w:rPr>
          <w:rFonts w:hint="eastAsia" w:ascii="仿宋" w:hAnsi="仿宋" w:eastAsia="仿宋" w:cs="仿宋"/>
          <w:color w:val="000000" w:themeColor="text1"/>
          <w:kern w:val="0"/>
          <w:sz w:val="32"/>
          <w:szCs w:val="32"/>
          <w:highlight w:val="none"/>
          <w14:textFill>
            <w14:solidFill>
              <w14:schemeClr w14:val="tx1"/>
            </w14:solidFill>
          </w14:textFill>
        </w:rPr>
        <w:t>或调研类</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学术类项目或执行周期</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少</w:t>
      </w:r>
      <w:r>
        <w:rPr>
          <w:rFonts w:hint="eastAsia" w:ascii="仿宋" w:hAnsi="仿宋" w:eastAsia="仿宋" w:cs="仿宋"/>
          <w:color w:val="000000" w:themeColor="text1"/>
          <w:kern w:val="0"/>
          <w:sz w:val="32"/>
          <w:szCs w:val="32"/>
          <w:highlight w:val="none"/>
          <w14:textFill>
            <w14:solidFill>
              <w14:schemeClr w14:val="tx1"/>
            </w14:solidFill>
          </w14:textFill>
        </w:rPr>
        <w:t>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个月</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的</w:t>
      </w:r>
      <w:r>
        <w:rPr>
          <w:rFonts w:hint="eastAsia" w:ascii="仿宋" w:hAnsi="仿宋" w:eastAsia="仿宋" w:cs="仿宋"/>
          <w:color w:val="000000" w:themeColor="text1"/>
          <w:kern w:val="0"/>
          <w:sz w:val="32"/>
          <w:szCs w:val="32"/>
          <w:highlight w:val="none"/>
          <w14:textFill>
            <w14:solidFill>
              <w14:schemeClr w14:val="tx1"/>
            </w14:solidFill>
          </w14:textFill>
        </w:rPr>
        <w:t>社会</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工作</w:t>
      </w:r>
      <w:r>
        <w:rPr>
          <w:rFonts w:hint="eastAsia" w:ascii="仿宋" w:hAnsi="仿宋" w:eastAsia="仿宋" w:cs="仿宋"/>
          <w:color w:val="000000" w:themeColor="text1"/>
          <w:kern w:val="0"/>
          <w:sz w:val="32"/>
          <w:szCs w:val="32"/>
          <w:highlight w:val="none"/>
          <w14:textFill>
            <w14:solidFill>
              <w14:schemeClr w14:val="tx1"/>
            </w14:solidFill>
          </w14:textFill>
        </w:rPr>
        <w:t>服务项目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可由购买主体自行选择验收方式。其他政府购买的社会</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工作</w:t>
      </w:r>
      <w:r>
        <w:rPr>
          <w:rFonts w:hint="eastAsia" w:ascii="仿宋" w:hAnsi="仿宋" w:eastAsia="仿宋" w:cs="仿宋"/>
          <w:color w:val="000000" w:themeColor="text1"/>
          <w:kern w:val="0"/>
          <w:sz w:val="32"/>
          <w:szCs w:val="32"/>
          <w:highlight w:val="none"/>
          <w14:textFill>
            <w14:solidFill>
              <w14:schemeClr w14:val="tx1"/>
            </w14:solidFill>
          </w14:textFill>
        </w:rPr>
        <w:t>服务项目，</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应开展项目评估工作。</w:t>
      </w:r>
      <w:r>
        <w:rPr>
          <w:rFonts w:hint="eastAsia" w:ascii="仿宋" w:hAnsi="仿宋" w:eastAsia="仿宋" w:cs="仿宋"/>
          <w:color w:val="000000" w:themeColor="text1"/>
          <w:kern w:val="0"/>
          <w:sz w:val="32"/>
          <w:szCs w:val="32"/>
          <w:highlight w:val="none"/>
          <w14:textFill>
            <w14:solidFill>
              <w14:schemeClr w14:val="tx1"/>
            </w14:solidFill>
          </w14:textFill>
        </w:rPr>
        <w:t>一般</w:t>
      </w:r>
      <w:r>
        <w:rPr>
          <w:rFonts w:hint="eastAsia" w:ascii="仿宋" w:hAnsi="仿宋" w:eastAsia="仿宋" w:cs="仿宋"/>
          <w:color w:val="000000" w:themeColor="text1"/>
          <w:kern w:val="0"/>
          <w:sz w:val="32"/>
          <w:szCs w:val="32"/>
          <w:highlight w:val="none"/>
          <w:lang w:eastAsia="zh-CN"/>
          <w14:textFill>
            <w14:solidFill>
              <w14:schemeClr w14:val="tx1"/>
            </w14:solidFill>
          </w14:textFill>
        </w:rPr>
        <w:t>项目</w:t>
      </w:r>
      <w:r>
        <w:rPr>
          <w:rFonts w:hint="eastAsia" w:ascii="仿宋" w:hAnsi="仿宋" w:eastAsia="仿宋" w:cs="仿宋"/>
          <w:color w:val="000000" w:themeColor="text1"/>
          <w:kern w:val="0"/>
          <w:sz w:val="32"/>
          <w:szCs w:val="32"/>
          <w:highlight w:val="none"/>
          <w14:textFill>
            <w14:solidFill>
              <w14:schemeClr w14:val="tx1"/>
            </w14:solidFill>
          </w14:textFill>
        </w:rPr>
        <w:t>经费</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超过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元</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且</w:t>
      </w:r>
      <w:r>
        <w:rPr>
          <w:rFonts w:hint="eastAsia" w:ascii="仿宋" w:hAnsi="仿宋" w:eastAsia="仿宋" w:cs="仿宋"/>
          <w:color w:val="000000" w:themeColor="text1"/>
          <w:kern w:val="0"/>
          <w:sz w:val="32"/>
          <w:szCs w:val="32"/>
          <w:highlight w:val="none"/>
          <w14:textFill>
            <w14:solidFill>
              <w14:schemeClr w14:val="tx1"/>
            </w14:solidFill>
          </w14:textFill>
        </w:rPr>
        <w:t>执行周期超过9个月的项目</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，原则上</w:t>
      </w:r>
      <w:r>
        <w:rPr>
          <w:rFonts w:hint="eastAsia" w:ascii="仿宋" w:hAnsi="仿宋" w:eastAsia="仿宋" w:cs="仿宋"/>
          <w:color w:val="000000" w:themeColor="text1"/>
          <w:kern w:val="0"/>
          <w:sz w:val="32"/>
          <w:szCs w:val="32"/>
          <w:highlight w:val="none"/>
          <w14:textFill>
            <w14:solidFill>
              <w14:schemeClr w14:val="tx1"/>
            </w14:solidFill>
          </w14:textFill>
        </w:rPr>
        <w:t>应安排中期评估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第十一条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评估经费一般包括中期评估和末期评估经费，由购买主体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根据实际</w:t>
      </w:r>
      <w:r>
        <w:rPr>
          <w:rFonts w:hint="eastAsia" w:ascii="仿宋" w:hAnsi="仿宋" w:eastAsia="仿宋" w:cs="仿宋"/>
          <w:color w:val="000000" w:themeColor="text1"/>
          <w:kern w:val="0"/>
          <w:sz w:val="32"/>
          <w:szCs w:val="32"/>
          <w:highlight w:val="none"/>
          <w14:textFill>
            <w14:solidFill>
              <w14:schemeClr w14:val="tx1"/>
            </w14:solidFill>
          </w14:textFill>
        </w:rPr>
        <w:t>自行决定项目评估费用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或参考以下执行（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以下评估经费不包含财务审计费</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仅实施末期评估的，按以下标准的60%安排</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（不含）</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元</w:t>
      </w:r>
      <w:r>
        <w:rPr>
          <w:rFonts w:hint="eastAsia" w:ascii="仿宋" w:hAnsi="仿宋" w:eastAsia="仿宋" w:cs="仿宋"/>
          <w:color w:val="000000" w:themeColor="text1"/>
          <w:kern w:val="0"/>
          <w:sz w:val="32"/>
          <w:szCs w:val="32"/>
          <w:highlight w:val="none"/>
          <w14:textFill>
            <w14:solidFill>
              <w14:schemeClr w14:val="tx1"/>
            </w14:solidFill>
          </w14:textFill>
        </w:rPr>
        <w:t>（含）的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单个项目</w:t>
      </w:r>
      <w:r>
        <w:rPr>
          <w:rFonts w:hint="eastAsia" w:ascii="仿宋" w:hAnsi="仿宋" w:eastAsia="仿宋" w:cs="仿宋"/>
          <w:color w:val="000000" w:themeColor="text1"/>
          <w:kern w:val="0"/>
          <w:sz w:val="32"/>
          <w:szCs w:val="32"/>
          <w:highlight w:val="none"/>
          <w14:textFill>
            <w14:solidFill>
              <w14:schemeClr w14:val="tx1"/>
            </w14:solidFill>
          </w14:textFill>
        </w:rPr>
        <w:t>，评估费用按</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000元-</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000元由购买方自行安排；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含）</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50万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元</w:t>
      </w:r>
      <w:r>
        <w:rPr>
          <w:rFonts w:hint="eastAsia" w:ascii="仿宋" w:hAnsi="仿宋" w:eastAsia="仿宋" w:cs="仿宋"/>
          <w:color w:val="000000" w:themeColor="text1"/>
          <w:kern w:val="0"/>
          <w:sz w:val="32"/>
          <w:szCs w:val="32"/>
          <w:highlight w:val="none"/>
          <w14:textFill>
            <w14:solidFill>
              <w14:schemeClr w14:val="tx1"/>
            </w14:solidFill>
          </w14:textFill>
        </w:rPr>
        <w:t>（含）的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单个项目</w:t>
      </w:r>
      <w:r>
        <w:rPr>
          <w:rFonts w:hint="eastAsia" w:ascii="仿宋" w:hAnsi="仿宋" w:eastAsia="仿宋" w:cs="仿宋"/>
          <w:color w:val="000000" w:themeColor="text1"/>
          <w:kern w:val="0"/>
          <w:sz w:val="32"/>
          <w:szCs w:val="32"/>
          <w:highlight w:val="none"/>
          <w14:textFill>
            <w14:solidFill>
              <w14:schemeClr w14:val="tx1"/>
            </w14:solidFill>
          </w14:textFill>
        </w:rPr>
        <w:t>，评估费用按</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r>
        <w:rPr>
          <w:rFonts w:hint="eastAsia" w:ascii="仿宋" w:hAnsi="仿宋" w:eastAsia="仿宋" w:cs="仿宋"/>
          <w:color w:val="000000" w:themeColor="text1"/>
          <w:kern w:val="0"/>
          <w:sz w:val="32"/>
          <w:szCs w:val="32"/>
          <w:highlight w:val="none"/>
          <w14:textFill>
            <w14:solidFill>
              <w14:schemeClr w14:val="tx1"/>
            </w14:solidFill>
          </w14:textFill>
        </w:rPr>
        <w:t>000元-1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000元由购买方自行安排；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50万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含）</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100万元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（含）</w:t>
      </w:r>
      <w:r>
        <w:rPr>
          <w:rFonts w:hint="eastAsia" w:ascii="仿宋" w:hAnsi="仿宋" w:eastAsia="仿宋" w:cs="仿宋"/>
          <w:color w:val="000000" w:themeColor="text1"/>
          <w:kern w:val="0"/>
          <w:sz w:val="32"/>
          <w:szCs w:val="32"/>
          <w:highlight w:val="none"/>
          <w14:textFill>
            <w14:solidFill>
              <w14:schemeClr w14:val="tx1"/>
            </w14:solidFill>
          </w14:textFill>
        </w:rPr>
        <w:t>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单个项目</w:t>
      </w:r>
      <w:r>
        <w:rPr>
          <w:rFonts w:hint="eastAsia" w:ascii="仿宋" w:hAnsi="仿宋" w:eastAsia="仿宋" w:cs="仿宋"/>
          <w:color w:val="000000" w:themeColor="text1"/>
          <w:kern w:val="0"/>
          <w:sz w:val="32"/>
          <w:szCs w:val="32"/>
          <w:highlight w:val="none"/>
          <w14:textFill>
            <w14:solidFill>
              <w14:schemeClr w14:val="tx1"/>
            </w14:solidFill>
          </w14:textFill>
        </w:rPr>
        <w:t>，其中超过50万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元（不含）</w:t>
      </w:r>
      <w:r>
        <w:rPr>
          <w:rFonts w:hint="eastAsia" w:ascii="仿宋" w:hAnsi="仿宋" w:eastAsia="仿宋" w:cs="仿宋"/>
          <w:color w:val="000000" w:themeColor="text1"/>
          <w:kern w:val="0"/>
          <w:sz w:val="32"/>
          <w:szCs w:val="32"/>
          <w:highlight w:val="none"/>
          <w14:textFill>
            <w14:solidFill>
              <w14:schemeClr w14:val="tx1"/>
            </w14:solidFill>
          </w14:textFill>
        </w:rPr>
        <w:t>的部分，按项目总费用的2%-3%自行安排；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100万元</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（不含）</w:t>
      </w:r>
      <w:r>
        <w:rPr>
          <w:rFonts w:hint="eastAsia" w:ascii="仿宋" w:hAnsi="仿宋" w:eastAsia="仿宋" w:cs="仿宋"/>
          <w:color w:val="000000" w:themeColor="text1"/>
          <w:kern w:val="0"/>
          <w:sz w:val="32"/>
          <w:szCs w:val="32"/>
          <w:highlight w:val="none"/>
          <w14:textFill>
            <w14:solidFill>
              <w14:schemeClr w14:val="tx1"/>
            </w14:solidFill>
          </w14:textFill>
        </w:rPr>
        <w:t>以上的</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单个项目</w:t>
      </w:r>
      <w:r>
        <w:rPr>
          <w:rFonts w:hint="eastAsia" w:ascii="仿宋" w:hAnsi="仿宋" w:eastAsia="仿宋" w:cs="仿宋"/>
          <w:color w:val="000000" w:themeColor="text1"/>
          <w:kern w:val="0"/>
          <w:sz w:val="32"/>
          <w:szCs w:val="32"/>
          <w:highlight w:val="none"/>
          <w14:textFill>
            <w14:solidFill>
              <w14:schemeClr w14:val="tx1"/>
            </w14:solidFill>
          </w14:textFill>
        </w:rPr>
        <w:t>，100万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（不含）</w:t>
      </w:r>
      <w:r>
        <w:rPr>
          <w:rFonts w:hint="eastAsia" w:ascii="仿宋" w:hAnsi="仿宋" w:eastAsia="仿宋" w:cs="仿宋"/>
          <w:color w:val="000000" w:themeColor="text1"/>
          <w:kern w:val="0"/>
          <w:sz w:val="32"/>
          <w:szCs w:val="32"/>
          <w:highlight w:val="none"/>
          <w14:textFill>
            <w14:solidFill>
              <w14:schemeClr w14:val="tx1"/>
            </w14:solidFill>
          </w14:textFill>
        </w:rPr>
        <w:t>至200万（含）部分按1.5%安排；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200万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（不含）</w:t>
      </w:r>
      <w:r>
        <w:rPr>
          <w:rFonts w:hint="eastAsia" w:ascii="仿宋" w:hAnsi="仿宋" w:eastAsia="仿宋" w:cs="仿宋"/>
          <w:color w:val="000000" w:themeColor="text1"/>
          <w:kern w:val="0"/>
          <w:sz w:val="32"/>
          <w:szCs w:val="32"/>
          <w:highlight w:val="none"/>
          <w14:textFill>
            <w14:solidFill>
              <w14:schemeClr w14:val="tx1"/>
            </w14:solidFill>
          </w14:textFill>
        </w:rPr>
        <w:t>以上部分按0.8%自行安排。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第十二条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评估机构参照《福州市</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政府</w:t>
      </w:r>
      <w:r>
        <w:rPr>
          <w:rFonts w:hint="eastAsia" w:ascii="仿宋" w:hAnsi="仿宋" w:eastAsia="仿宋" w:cs="仿宋"/>
          <w:color w:val="000000" w:themeColor="text1"/>
          <w:kern w:val="0"/>
          <w:sz w:val="32"/>
          <w:szCs w:val="32"/>
          <w:highlight w:val="none"/>
          <w14:textFill>
            <w14:solidFill>
              <w14:schemeClr w14:val="tx1"/>
            </w14:solidFill>
          </w14:textFill>
        </w:rPr>
        <w:t>购买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社会工作</w:t>
      </w:r>
      <w:r>
        <w:rPr>
          <w:rFonts w:hint="eastAsia" w:ascii="仿宋" w:hAnsi="仿宋" w:eastAsia="仿宋" w:cs="仿宋"/>
          <w:color w:val="000000" w:themeColor="text1"/>
          <w:kern w:val="0"/>
          <w:sz w:val="32"/>
          <w:szCs w:val="32"/>
          <w:highlight w:val="none"/>
          <w14:textFill>
            <w14:solidFill>
              <w14:schemeClr w14:val="tx1"/>
            </w14:solidFill>
          </w14:textFill>
        </w:rPr>
        <w:t>服务实施办法》</w:t>
      </w:r>
      <w:r>
        <w:rPr>
          <w:rFonts w:hint="eastAsia" w:ascii="仿宋" w:hAnsi="仿宋" w:eastAsia="仿宋" w:cs="仿宋"/>
          <w:color w:val="000000" w:themeColor="text1"/>
          <w:kern w:val="0"/>
          <w:sz w:val="32"/>
          <w:szCs w:val="32"/>
          <w14:textFill>
            <w14:solidFill>
              <w14:schemeClr w14:val="tx1"/>
            </w14:solidFill>
          </w14:textFill>
        </w:rPr>
        <w:t>（榕财社〔2021〕84 号）</w:t>
      </w:r>
      <w:r>
        <w:rPr>
          <w:rFonts w:hint="eastAsia" w:ascii="仿宋" w:hAnsi="仿宋" w:eastAsia="仿宋" w:cs="仿宋"/>
          <w:color w:val="000000" w:themeColor="text1"/>
          <w:kern w:val="0"/>
          <w:sz w:val="32"/>
          <w:szCs w:val="32"/>
          <w:highlight w:val="none"/>
          <w14:textFill>
            <w14:solidFill>
              <w14:schemeClr w14:val="tx1"/>
            </w14:solidFill>
          </w14:textFill>
        </w:rPr>
        <w:t>产生。购买主体对评估机构实施监管，若发现违法行为，承接主体及法人3年内不允许再承接包含社会工作服务项目评估的所有福州市</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政府购买社会服务项目。</w:t>
      </w:r>
    </w:p>
    <w:p>
      <w:pPr>
        <w:pStyle w:val="18"/>
        <w:widowControl/>
        <w:adjustRightInd w:val="0"/>
        <w:snapToGrid w:val="0"/>
        <w:spacing w:line="360" w:lineRule="auto"/>
        <w:ind w:firstLine="641"/>
        <w:jc w:val="left"/>
        <w:rPr>
          <w:rFonts w:ascii="仿宋" w:hAnsi="仿宋" w:eastAsia="仿宋" w:cs="仿宋"/>
          <w:color w:val="000000" w:themeColor="text1"/>
          <w:kern w:val="0"/>
          <w:sz w:val="32"/>
          <w:szCs w:val="32"/>
          <w:highlight w:val="none"/>
          <w14:textFill>
            <w14:solidFill>
              <w14:schemeClr w14:val="tx1"/>
            </w14:solidFill>
          </w14:textFill>
        </w:rPr>
      </w:pPr>
    </w:p>
    <w:p>
      <w:pPr>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br w:type="page"/>
      </w: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第四章 评估内容</w:t>
      </w:r>
    </w:p>
    <w:p>
      <w:pPr>
        <w:pStyle w:val="18"/>
        <w:widowControl/>
        <w:adjustRightInd w:val="0"/>
        <w:snapToGrid w:val="0"/>
        <w:spacing w:line="360" w:lineRule="auto"/>
        <w:ind w:firstLine="0" w:firstLineChars="0"/>
        <w:jc w:val="center"/>
        <w:rPr>
          <w:rFonts w:ascii="仿宋" w:hAnsi="仿宋" w:eastAsia="仿宋" w:cs="仿宋"/>
          <w:color w:val="000000" w:themeColor="text1"/>
          <w:kern w:val="0"/>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第十三条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在接受</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政府购买社会工作服务项目评估时，承接主体</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应</w:t>
      </w:r>
      <w:r>
        <w:rPr>
          <w:rFonts w:hint="eastAsia" w:ascii="仿宋" w:hAnsi="仿宋" w:eastAsia="仿宋" w:cs="仿宋"/>
          <w:color w:val="000000" w:themeColor="text1"/>
          <w:kern w:val="0"/>
          <w:sz w:val="32"/>
          <w:szCs w:val="32"/>
          <w:highlight w:val="none"/>
          <w14:textFill>
            <w14:solidFill>
              <w14:schemeClr w14:val="tx1"/>
            </w14:solidFill>
          </w14:textFill>
        </w:rPr>
        <w:t>提供</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登记证书或</w:t>
      </w:r>
      <w:r>
        <w:rPr>
          <w:rFonts w:hint="eastAsia" w:ascii="仿宋" w:hAnsi="仿宋" w:eastAsia="仿宋" w:cs="仿宋"/>
          <w:color w:val="000000" w:themeColor="text1"/>
          <w:kern w:val="0"/>
          <w:sz w:val="32"/>
          <w:szCs w:val="32"/>
          <w:highlight w:val="none"/>
          <w14:textFill>
            <w14:solidFill>
              <w14:schemeClr w14:val="tx1"/>
            </w14:solidFill>
          </w14:textFill>
        </w:rPr>
        <w:t>营业执照、年检结论、年度报告、财务审计报告等机构佐证材料。</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第十四条 </w:t>
      </w:r>
      <w:r>
        <w:rPr>
          <w:rFonts w:hint="eastAsia" w:ascii="仿宋" w:hAnsi="仿宋" w:eastAsia="仿宋" w:cs="仿宋"/>
          <w:color w:val="000000" w:themeColor="text1"/>
          <w:kern w:val="0"/>
          <w:sz w:val="32"/>
          <w:szCs w:val="32"/>
          <w:highlight w:val="none"/>
          <w14:textFill>
            <w14:solidFill>
              <w14:schemeClr w14:val="tx1"/>
            </w14:solidFill>
          </w14:textFill>
        </w:rPr>
        <w:t>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民政领域政府购买专业社会工作服务</w:t>
      </w:r>
      <w:r>
        <w:rPr>
          <w:rFonts w:hint="eastAsia" w:ascii="仿宋" w:hAnsi="仿宋" w:eastAsia="仿宋" w:cs="仿宋"/>
          <w:color w:val="000000" w:themeColor="text1"/>
          <w:kern w:val="0"/>
          <w:sz w:val="32"/>
          <w:szCs w:val="32"/>
          <w:highlight w:val="none"/>
          <w14:textFill>
            <w14:solidFill>
              <w14:schemeClr w14:val="tx1"/>
            </w14:solidFill>
          </w14:textFill>
        </w:rPr>
        <w:t>项目实施情况的评估，</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经购买主体和承接主体协商，以推进社会工作服务专业化发展为原则开展社会工作服务项目的评估工作。</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t xml:space="preserve">第十五条 </w:t>
      </w:r>
      <w:r>
        <w:rPr>
          <w:rFonts w:hint="eastAsia" w:ascii="仿宋" w:hAnsi="仿宋" w:eastAsia="仿宋" w:cs="仿宋"/>
          <w:color w:val="000000" w:themeColor="text1"/>
          <w:kern w:val="0"/>
          <w:sz w:val="32"/>
          <w:szCs w:val="32"/>
          <w:highlight w:val="none"/>
          <w14:textFill>
            <w14:solidFill>
              <w14:schemeClr w14:val="tx1"/>
            </w14:solidFill>
          </w14:textFill>
        </w:rPr>
        <w:t>对项目服务实施情况的评估，</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可以</w:t>
      </w:r>
      <w:r>
        <w:rPr>
          <w:rFonts w:hint="eastAsia" w:ascii="仿宋" w:hAnsi="仿宋" w:eastAsia="仿宋" w:cs="仿宋"/>
          <w:color w:val="000000" w:themeColor="text1"/>
          <w:kern w:val="0"/>
          <w:sz w:val="32"/>
          <w:szCs w:val="32"/>
          <w:highlight w:val="none"/>
          <w14:textFill>
            <w14:solidFill>
              <w14:schemeClr w14:val="tx1"/>
            </w14:solidFill>
          </w14:textFill>
        </w:rPr>
        <w:t>从以下五个方面进行考察、评价：</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（一）整体评价</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1.需求分析。科学合理的服务对象需求调研方案，调研采取多维度、多层面进行；服务对象的需求评估分析效度，需求分析从社会工作服务全人观和人与环境互动的关系展开；</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2.目标管理。服务群体定位清晰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服务目标明确、具体、可行，所用服务方法与满足服务对象需求之间有合理的内在联系；群体分层服务分类的目标清晰度高、可操作性强。项目服务有整体性，逻辑合理，切合服务地域的整体需求，项目服务具有可持续性；形成层次覆盖、逻辑</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合理、</w:t>
      </w:r>
      <w:r>
        <w:rPr>
          <w:rFonts w:hint="eastAsia" w:ascii="仿宋" w:hAnsi="仿宋" w:eastAsia="仿宋" w:cs="仿宋"/>
          <w:color w:val="000000" w:themeColor="text1"/>
          <w:kern w:val="0"/>
          <w:sz w:val="32"/>
          <w:szCs w:val="32"/>
          <w:highlight w:val="none"/>
          <w14:textFill>
            <w14:solidFill>
              <w14:schemeClr w14:val="tx1"/>
            </w14:solidFill>
          </w14:textFill>
        </w:rPr>
        <w:t>阶段推进的服务路径，回应分层分类服务对象需求；</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3.方案设计。服务计划分层分类设计，注重</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基本</w:t>
      </w:r>
      <w:r>
        <w:rPr>
          <w:rFonts w:hint="eastAsia" w:ascii="仿宋" w:hAnsi="仿宋" w:eastAsia="仿宋" w:cs="仿宋"/>
          <w:color w:val="000000" w:themeColor="text1"/>
          <w:kern w:val="0"/>
          <w:sz w:val="32"/>
          <w:szCs w:val="32"/>
          <w:highlight w:val="none"/>
          <w14:textFill>
            <w14:solidFill>
              <w14:schemeClr w14:val="tx1"/>
            </w14:solidFill>
          </w14:textFill>
        </w:rPr>
        <w:t>服务对象与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重点</w:t>
      </w:r>
      <w:r>
        <w:rPr>
          <w:rFonts w:hint="eastAsia" w:ascii="仿宋" w:hAnsi="仿宋" w:eastAsia="仿宋" w:cs="仿宋"/>
          <w:color w:val="000000" w:themeColor="text1"/>
          <w:kern w:val="0"/>
          <w:sz w:val="32"/>
          <w:szCs w:val="32"/>
          <w:highlight w:val="none"/>
          <w14:textFill>
            <w14:solidFill>
              <w14:schemeClr w14:val="tx1"/>
            </w14:solidFill>
          </w14:textFill>
        </w:rPr>
        <w:t>服务对象的区分度，按照服务对象分层进行服务分类设计，服务设计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能够回应</w:t>
      </w:r>
      <w:r>
        <w:rPr>
          <w:rFonts w:hint="eastAsia" w:ascii="仿宋" w:hAnsi="仿宋" w:eastAsia="仿宋" w:cs="仿宋"/>
          <w:color w:val="000000" w:themeColor="text1"/>
          <w:kern w:val="0"/>
          <w:sz w:val="32"/>
          <w:szCs w:val="32"/>
          <w:highlight w:val="none"/>
          <w14:textFill>
            <w14:solidFill>
              <w14:schemeClr w14:val="tx1"/>
            </w14:solidFill>
          </w14:textFill>
        </w:rPr>
        <w:t>服务对象需求，基本服务对象和重点服务对象都有合适的服务提供；</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4.专业支持。督导</w:t>
      </w:r>
      <w:r>
        <w:rPr>
          <w:rFonts w:hint="eastAsia" w:ascii="仿宋" w:hAnsi="仿宋" w:eastAsia="仿宋" w:cs="仿宋"/>
          <w:color w:val="000000" w:themeColor="text1"/>
          <w:kern w:val="0"/>
          <w:sz w:val="32"/>
          <w:szCs w:val="32"/>
          <w:lang w:val="en-US" w:eastAsia="zh-CN"/>
          <w14:textFill>
            <w14:solidFill>
              <w14:schemeClr w14:val="tx1"/>
            </w14:solidFill>
          </w14:textFill>
        </w:rPr>
        <w:t>程序</w:t>
      </w:r>
      <w:r>
        <w:rPr>
          <w:rFonts w:hint="eastAsia" w:ascii="仿宋" w:hAnsi="仿宋" w:eastAsia="仿宋" w:cs="仿宋"/>
          <w:color w:val="000000" w:themeColor="text1"/>
          <w:kern w:val="0"/>
          <w:sz w:val="32"/>
          <w:szCs w:val="32"/>
          <w14:textFill>
            <w14:solidFill>
              <w14:schemeClr w14:val="tx1"/>
            </w14:solidFill>
          </w14:textFill>
        </w:rPr>
        <w:t>规范，</w:t>
      </w:r>
      <w:r>
        <w:rPr>
          <w:rFonts w:hint="eastAsia" w:ascii="仿宋" w:hAnsi="仿宋" w:eastAsia="仿宋" w:cs="仿宋"/>
          <w:color w:val="000000" w:themeColor="text1"/>
          <w:kern w:val="0"/>
          <w:sz w:val="32"/>
          <w:szCs w:val="32"/>
          <w:lang w:val="en-US" w:eastAsia="zh-CN"/>
          <w14:textFill>
            <w14:solidFill>
              <w14:schemeClr w14:val="tx1"/>
            </w14:solidFill>
          </w14:textFill>
        </w:rPr>
        <w:t>有</w:t>
      </w:r>
      <w:r>
        <w:rPr>
          <w:rFonts w:hint="eastAsia" w:ascii="仿宋" w:hAnsi="仿宋" w:eastAsia="仿宋" w:cs="仿宋"/>
          <w:color w:val="000000" w:themeColor="text1"/>
          <w:kern w:val="0"/>
          <w:sz w:val="32"/>
          <w:szCs w:val="32"/>
          <w14:textFill>
            <w14:solidFill>
              <w14:schemeClr w14:val="tx1"/>
            </w14:solidFill>
          </w14:textFill>
        </w:rPr>
        <w:t>督导工作协议、工作内容符合</w:t>
      </w:r>
      <w:r>
        <w:rPr>
          <w:rFonts w:hint="eastAsia" w:ascii="仿宋" w:hAnsi="仿宋" w:eastAsia="仿宋" w:cs="仿宋"/>
          <w:color w:val="000000" w:themeColor="text1"/>
          <w:kern w:val="0"/>
          <w:sz w:val="32"/>
          <w:szCs w:val="32"/>
          <w:lang w:val="en-US" w:eastAsia="zh-CN"/>
          <w14:textFill>
            <w14:solidFill>
              <w14:schemeClr w14:val="tx1"/>
            </w14:solidFill>
          </w14:textFill>
        </w:rPr>
        <w:t>要求</w:t>
      </w:r>
      <w:r>
        <w:rPr>
          <w:rFonts w:hint="eastAsia" w:ascii="仿宋" w:hAnsi="仿宋" w:eastAsia="仿宋" w:cs="仿宋"/>
          <w:color w:val="000000" w:themeColor="text1"/>
          <w:kern w:val="0"/>
          <w:sz w:val="32"/>
          <w:szCs w:val="32"/>
          <w14:textFill>
            <w14:solidFill>
              <w14:schemeClr w14:val="tx1"/>
            </w14:solidFill>
          </w14:textFill>
        </w:rPr>
        <w:t>、督导到岗工作记录完整，能够体现专业指导；督导成效，督导对服务文书批阅</w:t>
      </w:r>
      <w:r>
        <w:rPr>
          <w:rFonts w:hint="eastAsia" w:ascii="仿宋" w:hAnsi="仿宋" w:eastAsia="仿宋" w:cs="仿宋"/>
          <w:color w:val="000000" w:themeColor="text1"/>
          <w:kern w:val="0"/>
          <w:sz w:val="32"/>
          <w:szCs w:val="32"/>
          <w:lang w:val="en-US" w:eastAsia="zh-CN"/>
          <w14:textFill>
            <w14:solidFill>
              <w14:schemeClr w14:val="tx1"/>
            </w14:solidFill>
          </w14:textFill>
        </w:rPr>
        <w:t>符合</w:t>
      </w:r>
      <w:r>
        <w:rPr>
          <w:rFonts w:hint="eastAsia" w:ascii="仿宋" w:hAnsi="仿宋" w:eastAsia="仿宋" w:cs="仿宋"/>
          <w:color w:val="000000" w:themeColor="text1"/>
          <w:kern w:val="0"/>
          <w:sz w:val="32"/>
          <w:szCs w:val="32"/>
          <w14:textFill>
            <w14:solidFill>
              <w14:schemeClr w14:val="tx1"/>
            </w14:solidFill>
          </w14:textFill>
        </w:rPr>
        <w:t>规范，社工的督导记录体现专业指引；督导成效评价，</w:t>
      </w:r>
      <w:r>
        <w:rPr>
          <w:rFonts w:hint="eastAsia" w:ascii="仿宋" w:hAnsi="仿宋" w:eastAsia="仿宋" w:cs="仿宋"/>
          <w:color w:val="000000" w:themeColor="text1"/>
          <w:kern w:val="0"/>
          <w:sz w:val="32"/>
          <w:szCs w:val="32"/>
          <w:lang w:val="en-US" w:eastAsia="zh-CN"/>
          <w14:textFill>
            <w14:solidFill>
              <w14:schemeClr w14:val="tx1"/>
            </w14:solidFill>
          </w14:textFill>
        </w:rPr>
        <w:t>包括</w:t>
      </w:r>
      <w:r>
        <w:rPr>
          <w:rFonts w:hint="eastAsia" w:ascii="仿宋" w:hAnsi="仿宋" w:eastAsia="仿宋" w:cs="仿宋"/>
          <w:color w:val="000000" w:themeColor="text1"/>
          <w:kern w:val="0"/>
          <w:sz w:val="32"/>
          <w:szCs w:val="32"/>
          <w14:textFill>
            <w14:solidFill>
              <w14:schemeClr w14:val="tx1"/>
            </w14:solidFill>
          </w14:textFill>
        </w:rPr>
        <w:t>对督导的行政性、教育性、支持性</w:t>
      </w:r>
      <w:r>
        <w:rPr>
          <w:rFonts w:hint="eastAsia" w:ascii="仿宋" w:hAnsi="仿宋" w:eastAsia="仿宋" w:cs="仿宋"/>
          <w:color w:val="000000" w:themeColor="text1"/>
          <w:kern w:val="0"/>
          <w:sz w:val="32"/>
          <w:szCs w:val="32"/>
          <w:lang w:val="en-US" w:eastAsia="zh-CN"/>
          <w14:textFill>
            <w14:solidFill>
              <w14:schemeClr w14:val="tx1"/>
            </w14:solidFill>
          </w14:textFill>
        </w:rPr>
        <w:t>等方面</w:t>
      </w:r>
      <w:r>
        <w:rPr>
          <w:rFonts w:hint="eastAsia" w:ascii="仿宋" w:hAnsi="仿宋" w:eastAsia="仿宋" w:cs="仿宋"/>
          <w:color w:val="000000" w:themeColor="text1"/>
          <w:kern w:val="0"/>
          <w:sz w:val="32"/>
          <w:szCs w:val="32"/>
          <w14:textFill>
            <w14:solidFill>
              <w14:schemeClr w14:val="tx1"/>
            </w14:solidFill>
          </w14:textFill>
        </w:rPr>
        <w:t>的评价；</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5.项目实施一致性。项目实际具体实施是否按照项目申报书的服务框架、服务群体、服务进度进行实施。</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（二）专业服务</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1.服务对象建档情况。按合同约定完成电访、探访；建立关于服务对象基本信息及基本需求等方面的档案，完成合同约定的建档数量。</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2.个案。结合服务对象个人或家庭的需求开案，注意个案目标确定、运用专业</w:t>
      </w:r>
      <w:r>
        <w:rPr>
          <w:rFonts w:hint="eastAsia" w:ascii="仿宋" w:hAnsi="仿宋" w:eastAsia="仿宋" w:cs="仿宋"/>
          <w:color w:val="000000" w:themeColor="text1"/>
          <w:kern w:val="0"/>
          <w:sz w:val="32"/>
          <w:szCs w:val="32"/>
          <w:lang w:val="en-US" w:eastAsia="zh-CN"/>
          <w14:textFill>
            <w14:solidFill>
              <w14:schemeClr w14:val="tx1"/>
            </w14:solidFill>
          </w14:textFill>
        </w:rPr>
        <w:t>方式</w:t>
      </w:r>
      <w:r>
        <w:rPr>
          <w:rFonts w:hint="eastAsia" w:ascii="仿宋" w:hAnsi="仿宋" w:eastAsia="仿宋" w:cs="仿宋"/>
          <w:color w:val="000000" w:themeColor="text1"/>
          <w:kern w:val="0"/>
          <w:sz w:val="32"/>
          <w:szCs w:val="32"/>
          <w14:textFill>
            <w14:solidFill>
              <w14:schemeClr w14:val="tx1"/>
            </w14:solidFill>
          </w14:textFill>
        </w:rPr>
        <w:t>方法、服务成效；</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咨询性个案记录包括但不限于：服务对象基本信息、咨询的主要问题、社会工作者的回应措施；</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辅导性个案工作记录包括但不限于接案</w:t>
      </w:r>
      <w:r>
        <w:rPr>
          <w:rFonts w:hint="eastAsia" w:ascii="仿宋" w:hAnsi="仿宋" w:eastAsia="仿宋" w:cs="仿宋"/>
          <w:color w:val="000000" w:themeColor="text1"/>
          <w:kern w:val="0"/>
          <w:sz w:val="32"/>
          <w:szCs w:val="32"/>
          <w:lang w:val="en-US" w:eastAsia="zh-CN"/>
          <w14:textFill>
            <w14:solidFill>
              <w14:schemeClr w14:val="tx1"/>
            </w14:solidFill>
          </w14:textFill>
        </w:rPr>
        <w:t>记录表</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资料收集表、</w:t>
      </w:r>
      <w:r>
        <w:rPr>
          <w:rFonts w:hint="eastAsia" w:ascii="仿宋" w:hAnsi="仿宋" w:eastAsia="仿宋" w:cs="仿宋"/>
          <w:color w:val="000000" w:themeColor="text1"/>
          <w:kern w:val="0"/>
          <w:sz w:val="32"/>
          <w:szCs w:val="32"/>
          <w14:textFill>
            <w14:solidFill>
              <w14:schemeClr w14:val="tx1"/>
            </w14:solidFill>
          </w14:textFill>
        </w:rPr>
        <w:t>预估</w:t>
      </w:r>
      <w:r>
        <w:rPr>
          <w:rFonts w:hint="eastAsia" w:ascii="仿宋" w:hAnsi="仿宋" w:eastAsia="仿宋" w:cs="仿宋"/>
          <w:color w:val="000000" w:themeColor="text1"/>
          <w:kern w:val="0"/>
          <w:sz w:val="32"/>
          <w:szCs w:val="32"/>
          <w:lang w:val="en-US" w:eastAsia="zh-CN"/>
          <w14:textFill>
            <w14:solidFill>
              <w14:schemeClr w14:val="tx1"/>
            </w14:solidFill>
          </w14:textFill>
        </w:rPr>
        <w:t>表</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协议、</w:t>
      </w:r>
      <w:r>
        <w:rPr>
          <w:rFonts w:hint="eastAsia" w:ascii="仿宋" w:hAnsi="仿宋" w:eastAsia="仿宋" w:cs="仿宋"/>
          <w:color w:val="000000" w:themeColor="text1"/>
          <w:kern w:val="0"/>
          <w:sz w:val="32"/>
          <w:szCs w:val="32"/>
          <w:lang w:val="en-US" w:eastAsia="zh-CN"/>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计划</w:t>
      </w:r>
      <w:r>
        <w:rPr>
          <w:rFonts w:hint="eastAsia" w:ascii="仿宋" w:hAnsi="仿宋" w:eastAsia="仿宋" w:cs="仿宋"/>
          <w:color w:val="000000" w:themeColor="text1"/>
          <w:kern w:val="0"/>
          <w:sz w:val="32"/>
          <w:szCs w:val="32"/>
          <w:lang w:val="en-US" w:eastAsia="zh-CN"/>
          <w14:textFill>
            <w14:solidFill>
              <w14:schemeClr w14:val="tx1"/>
            </w14:solidFill>
          </w14:textFill>
        </w:rPr>
        <w:t>书、过程记录表、评估表、</w:t>
      </w:r>
      <w:r>
        <w:rPr>
          <w:rFonts w:hint="eastAsia" w:ascii="仿宋" w:hAnsi="仿宋" w:eastAsia="仿宋" w:cs="仿宋"/>
          <w:color w:val="000000" w:themeColor="text1"/>
          <w:kern w:val="0"/>
          <w:sz w:val="32"/>
          <w:szCs w:val="32"/>
          <w14:textFill>
            <w14:solidFill>
              <w14:schemeClr w14:val="tx1"/>
            </w14:solidFill>
          </w14:textFill>
        </w:rPr>
        <w:t>结案等资料，服务记录中应体现社会工作的专业元素；按合同约定完成辅导性、咨询性个案服务指标；</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3.小组工作。</w:t>
      </w:r>
      <w:r>
        <w:rPr>
          <w:rFonts w:hint="eastAsia" w:ascii="仿宋" w:hAnsi="仿宋" w:eastAsia="仿宋" w:cs="仿宋"/>
          <w:color w:val="000000" w:themeColor="text1"/>
          <w:kern w:val="0"/>
          <w:sz w:val="32"/>
          <w:szCs w:val="32"/>
          <w:lang w:val="en-US" w:eastAsia="zh-CN"/>
          <w14:textFill>
            <w14:solidFill>
              <w14:schemeClr w14:val="tx1"/>
            </w14:solidFill>
          </w14:textFill>
        </w:rPr>
        <w:t>针</w:t>
      </w:r>
      <w:r>
        <w:rPr>
          <w:rFonts w:hint="eastAsia" w:ascii="仿宋" w:hAnsi="仿宋" w:eastAsia="仿宋" w:cs="仿宋"/>
          <w:color w:val="000000" w:themeColor="text1"/>
          <w:kern w:val="0"/>
          <w:sz w:val="32"/>
          <w:szCs w:val="32"/>
          <w14:textFill>
            <w14:solidFill>
              <w14:schemeClr w14:val="tx1"/>
            </w14:solidFill>
          </w14:textFill>
        </w:rPr>
        <w:t>对相同或相似问题和需求的群体开展小组支持，注意小组目标确定、专业方法的运用、服务成效；小组工作记录包括但不限于小组计划书、招募宣传、活动签到表、小组过程记录和小组反思总结报告等资料，服务记录中应体现社会工作的专业元素；按合同约定完成小组工作服务指标；</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。将社区宣传、教育、倡导活动形成系列化、项目化，并产生社区影响，注意社区氛围</w:t>
      </w:r>
      <w:r>
        <w:rPr>
          <w:rFonts w:hint="eastAsia" w:ascii="仿宋" w:hAnsi="仿宋" w:eastAsia="仿宋" w:cs="仿宋"/>
          <w:color w:val="000000" w:themeColor="text1"/>
          <w:kern w:val="0"/>
          <w:sz w:val="32"/>
          <w:szCs w:val="32"/>
          <w:lang w:val="en-US" w:eastAsia="zh-CN"/>
          <w14:textFill>
            <w14:solidFill>
              <w14:schemeClr w14:val="tx1"/>
            </w14:solidFill>
          </w14:textFill>
        </w:rPr>
        <w:t>营造</w:t>
      </w:r>
      <w:r>
        <w:rPr>
          <w:rFonts w:hint="eastAsia" w:ascii="仿宋" w:hAnsi="仿宋" w:eastAsia="仿宋" w:cs="仿宋"/>
          <w:color w:val="000000" w:themeColor="text1"/>
          <w:kern w:val="0"/>
          <w:sz w:val="32"/>
          <w:szCs w:val="32"/>
          <w14:textFill>
            <w14:solidFill>
              <w14:schemeClr w14:val="tx1"/>
            </w14:solidFill>
          </w14:textFill>
        </w:rPr>
        <w:t>、社区关系改善、社区互助网络搭建等；</w:t>
      </w:r>
      <w:r>
        <w:rPr>
          <w:rFonts w:hint="eastAsia" w:ascii="仿宋" w:hAnsi="仿宋" w:eastAsia="仿宋" w:cs="仿宋"/>
          <w:color w:val="000000" w:themeColor="text1"/>
          <w:kern w:val="0"/>
          <w:sz w:val="32"/>
          <w:szCs w:val="32"/>
          <w:lang w:val="en-US" w:eastAsia="zh-CN"/>
          <w14:textFill>
            <w14:solidFill>
              <w14:schemeClr w14:val="tx1"/>
            </w14:solidFill>
          </w14:textFill>
        </w:rPr>
        <w:t>完整的</w:t>
      </w:r>
      <w:r>
        <w:rPr>
          <w:rFonts w:hint="eastAsia" w:ascii="仿宋" w:hAnsi="仿宋" w:eastAsia="仿宋" w:cs="仿宋"/>
          <w:color w:val="000000" w:themeColor="text1"/>
          <w:kern w:val="0"/>
          <w:sz w:val="32"/>
          <w:szCs w:val="32"/>
          <w14:textFill>
            <w14:solidFill>
              <w14:schemeClr w14:val="tx1"/>
            </w14:solidFill>
          </w14:textFill>
        </w:rPr>
        <w:t>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记录包括但不限于计划书、招募宣传、活动</w:t>
      </w:r>
      <w:r>
        <w:rPr>
          <w:rFonts w:hint="eastAsia" w:ascii="仿宋" w:hAnsi="仿宋" w:eastAsia="仿宋" w:cs="仿宋"/>
          <w:color w:val="000000" w:themeColor="text1"/>
          <w:kern w:val="0"/>
          <w:sz w:val="32"/>
          <w:szCs w:val="32"/>
          <w:lang w:val="en-US" w:eastAsia="zh-CN"/>
          <w14:textFill>
            <w14:solidFill>
              <w14:schemeClr w14:val="tx1"/>
            </w14:solidFill>
          </w14:textFill>
        </w:rPr>
        <w:t>开展</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活动记录、</w:t>
      </w:r>
      <w:r>
        <w:rPr>
          <w:rFonts w:hint="eastAsia" w:ascii="仿宋" w:hAnsi="仿宋" w:eastAsia="仿宋" w:cs="仿宋"/>
          <w:color w:val="000000" w:themeColor="text1"/>
          <w:kern w:val="0"/>
          <w:sz w:val="32"/>
          <w:szCs w:val="32"/>
          <w14:textFill>
            <w14:solidFill>
              <w14:schemeClr w14:val="tx1"/>
            </w14:solidFill>
          </w14:textFill>
        </w:rPr>
        <w:t>签到表、活动总结等资料，服务记录中应体现社会工作的专业元素；按合同约定完成社区</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指标</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（三）运营与管理</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1.人力资源</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建立人力资源制度，并有效执行；按合同约定配备具有相应资质的项目人员；保持项目工作人员的稳定性，减少流失和流动，保障项目顺利实施。项目执行团队具有明确的架构图、管理层次清晰，职责明确，分工合理；做好志愿者服务管理，并作好相关记录(包括志愿者档案建立、服务登记、志愿服务总结、志愿者培训等)；</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2.物资管理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建立项目物资管理制度，并有效执行</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3.进度管理。项目团队根据服务方案制定总体工作计划和阶段性工作安排；制定服务进度管理制度，并合理安排工作进度；制定项目年度计划、实施办法和执行措施对项目进行</w:t>
      </w:r>
      <w:r>
        <w:rPr>
          <w:rFonts w:hint="eastAsia" w:ascii="仿宋" w:hAnsi="仿宋" w:eastAsia="仿宋" w:cs="仿宋"/>
          <w:color w:val="000000" w:themeColor="text1"/>
          <w:kern w:val="0"/>
          <w:sz w:val="32"/>
          <w:szCs w:val="32"/>
          <w:lang w:val="en-US" w:eastAsia="zh-CN"/>
          <w14:textFill>
            <w14:solidFill>
              <w14:schemeClr w14:val="tx1"/>
            </w14:solidFill>
          </w14:textFill>
        </w:rPr>
        <w:t>全程</w:t>
      </w:r>
      <w:r>
        <w:rPr>
          <w:rFonts w:hint="eastAsia" w:ascii="仿宋" w:hAnsi="仿宋" w:eastAsia="仿宋" w:cs="仿宋"/>
          <w:color w:val="000000" w:themeColor="text1"/>
          <w:kern w:val="0"/>
          <w:sz w:val="32"/>
          <w:szCs w:val="32"/>
          <w14:textFill>
            <w14:solidFill>
              <w14:schemeClr w14:val="tx1"/>
            </w14:solidFill>
          </w14:textFill>
        </w:rPr>
        <w:t>监测；</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4.成本管理。对项目资金进行合理规划，监控项目经费支出；</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5.档案管理。项目服务档案全面、原始、真实。档案管理的安全性与保密性高，且存放完整有序、合理归档、易查找；</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6.沟通机制。项目内部、外部形成明确的沟通机制，确保沟通到位，并</w:t>
      </w:r>
      <w:r>
        <w:rPr>
          <w:rFonts w:hint="eastAsia" w:ascii="仿宋" w:hAnsi="仿宋" w:eastAsia="仿宋" w:cs="仿宋"/>
          <w:color w:val="000000" w:themeColor="text1"/>
          <w:kern w:val="0"/>
          <w:sz w:val="32"/>
          <w:szCs w:val="32"/>
          <w:lang w:val="en-US" w:eastAsia="zh-CN"/>
          <w14:textFill>
            <w14:solidFill>
              <w14:schemeClr w14:val="tx1"/>
            </w14:solidFill>
          </w14:textFill>
        </w:rPr>
        <w:t>留</w:t>
      </w:r>
      <w:r>
        <w:rPr>
          <w:rFonts w:hint="eastAsia" w:ascii="仿宋" w:hAnsi="仿宋" w:eastAsia="仿宋" w:cs="仿宋"/>
          <w:color w:val="000000" w:themeColor="text1"/>
          <w:kern w:val="0"/>
          <w:sz w:val="32"/>
          <w:szCs w:val="32"/>
          <w14:textFill>
            <w14:solidFill>
              <w14:schemeClr w14:val="tx1"/>
            </w14:solidFill>
          </w14:textFill>
        </w:rPr>
        <w:t>有相关沟通记录；</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7.服务反馈与处理。建立意见反馈与投诉处理</w:t>
      </w:r>
      <w:r>
        <w:rPr>
          <w:rFonts w:hint="eastAsia" w:ascii="仿宋" w:hAnsi="仿宋" w:eastAsia="仿宋" w:cs="仿宋"/>
          <w:color w:val="000000" w:themeColor="text1"/>
          <w:kern w:val="0"/>
          <w:sz w:val="32"/>
          <w:szCs w:val="32"/>
          <w:lang w:val="en-US" w:eastAsia="zh-CN"/>
          <w14:textFill>
            <w14:solidFill>
              <w14:schemeClr w14:val="tx1"/>
            </w14:solidFill>
          </w14:textFill>
        </w:rPr>
        <w:t>渠道</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建立</w:t>
      </w:r>
      <w:r>
        <w:rPr>
          <w:rFonts w:hint="eastAsia" w:ascii="仿宋" w:hAnsi="仿宋" w:eastAsia="仿宋" w:cs="仿宋"/>
          <w:color w:val="000000" w:themeColor="text1"/>
          <w:kern w:val="0"/>
          <w:sz w:val="32"/>
          <w:szCs w:val="32"/>
          <w14:textFill>
            <w14:solidFill>
              <w14:schemeClr w14:val="tx1"/>
            </w14:solidFill>
          </w14:textFill>
        </w:rPr>
        <w:t>持续改进机制；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8.风险管理与应急预案。针对项目实施过程中存在的风险</w:t>
      </w:r>
      <w:r>
        <w:rPr>
          <w:rFonts w:hint="eastAsia" w:ascii="仿宋" w:hAnsi="仿宋" w:eastAsia="仿宋" w:cs="仿宋"/>
          <w:color w:val="000000" w:themeColor="text1"/>
          <w:kern w:val="0"/>
          <w:sz w:val="32"/>
          <w:szCs w:val="32"/>
          <w:lang w:val="en-US" w:eastAsia="zh-CN"/>
          <w14:textFill>
            <w14:solidFill>
              <w14:schemeClr w14:val="tx1"/>
            </w14:solidFill>
          </w14:textFill>
        </w:rPr>
        <w:t>进行预估</w:t>
      </w:r>
      <w:r>
        <w:rPr>
          <w:rFonts w:hint="eastAsia" w:ascii="仿宋" w:hAnsi="仿宋" w:eastAsia="仿宋" w:cs="仿宋"/>
          <w:color w:val="000000" w:themeColor="text1"/>
          <w:kern w:val="0"/>
          <w:sz w:val="32"/>
          <w:szCs w:val="32"/>
          <w14:textFill>
            <w14:solidFill>
              <w14:schemeClr w14:val="tx1"/>
            </w14:solidFill>
          </w14:textFill>
        </w:rPr>
        <w:t>，形成风险应对及管理机制；</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（四）财务管理</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1.财务管理制度。建立健全符合《民间非营利组织会计制度》要求</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包括年度预决算、专项经费收支、财务审核等方面在内</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的财务管理制度。建立固定资产购买、登记、使用及管理制度，明确运营主体变更或项目结束后固定资产的归属及去向；</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2.财务人员。按规定配备具有专业资质的财务人员，制定岗位职责，周期内接受财务培训；</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3.项目财务报告。承接主体按时出具项目财务报告；</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4.经费预决算。根据实际及预决算程序进行财务预算和决算，及时对经费使用合理性</w:t>
      </w:r>
      <w:r>
        <w:rPr>
          <w:rFonts w:hint="eastAsia" w:ascii="仿宋" w:hAnsi="仿宋" w:eastAsia="仿宋" w:cs="仿宋"/>
          <w:color w:val="000000" w:themeColor="text1"/>
          <w:kern w:val="0"/>
          <w:sz w:val="32"/>
          <w:szCs w:val="32"/>
          <w:lang w:val="en-US" w:eastAsia="zh-CN"/>
          <w14:textFill>
            <w14:solidFill>
              <w14:schemeClr w14:val="tx1"/>
            </w14:solidFill>
          </w14:textFill>
        </w:rPr>
        <w:t>做好分析和</w:t>
      </w:r>
      <w:r>
        <w:rPr>
          <w:rFonts w:hint="eastAsia" w:ascii="仿宋" w:hAnsi="仿宋" w:eastAsia="仿宋" w:cs="仿宋"/>
          <w:color w:val="000000" w:themeColor="text1"/>
          <w:kern w:val="0"/>
          <w:sz w:val="32"/>
          <w:szCs w:val="32"/>
          <w14:textFill>
            <w14:solidFill>
              <w14:schemeClr w14:val="tx1"/>
            </w14:solidFill>
          </w14:textFill>
        </w:rPr>
        <w:t>监控，保证财务健康运作；</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5.财务</w:t>
      </w:r>
      <w:r>
        <w:rPr>
          <w:rFonts w:hint="eastAsia" w:ascii="仿宋" w:hAnsi="仿宋" w:eastAsia="仿宋" w:cs="仿宋"/>
          <w:color w:val="000000" w:themeColor="text1"/>
          <w:kern w:val="0"/>
          <w:sz w:val="32"/>
          <w:szCs w:val="32"/>
          <w:lang w:val="en-US" w:eastAsia="zh-CN"/>
          <w14:textFill>
            <w14:solidFill>
              <w14:schemeClr w14:val="tx1"/>
            </w14:solidFill>
          </w14:textFill>
        </w:rPr>
        <w:t>档案</w:t>
      </w:r>
      <w:r>
        <w:rPr>
          <w:rFonts w:hint="eastAsia" w:ascii="仿宋" w:hAnsi="仿宋" w:eastAsia="仿宋" w:cs="仿宋"/>
          <w:color w:val="000000" w:themeColor="text1"/>
          <w:kern w:val="0"/>
          <w:sz w:val="32"/>
          <w:szCs w:val="32"/>
          <w14:textFill>
            <w14:solidFill>
              <w14:schemeClr w14:val="tx1"/>
            </w14:solidFill>
          </w14:textFill>
        </w:rPr>
        <w:t>管理。各类</w:t>
      </w:r>
      <w:r>
        <w:rPr>
          <w:rFonts w:hint="eastAsia" w:ascii="仿宋" w:hAnsi="仿宋" w:eastAsia="仿宋" w:cs="仿宋"/>
          <w:color w:val="000000" w:themeColor="text1"/>
          <w:kern w:val="0"/>
          <w:sz w:val="32"/>
          <w:szCs w:val="32"/>
          <w:lang w:val="en-US" w:eastAsia="zh-CN"/>
          <w14:textFill>
            <w14:solidFill>
              <w14:schemeClr w14:val="tx1"/>
            </w14:solidFill>
          </w14:textFill>
        </w:rPr>
        <w:t>原始票据</w:t>
      </w:r>
      <w:r>
        <w:rPr>
          <w:rFonts w:hint="eastAsia" w:ascii="仿宋" w:hAnsi="仿宋" w:eastAsia="仿宋" w:cs="仿宋"/>
          <w:color w:val="000000" w:themeColor="text1"/>
          <w:kern w:val="0"/>
          <w:sz w:val="32"/>
          <w:szCs w:val="32"/>
          <w14:textFill>
            <w14:solidFill>
              <w14:schemeClr w14:val="tx1"/>
            </w14:solidFill>
          </w14:textFill>
        </w:rPr>
        <w:t>凭证齐全，发票真实有效，各类经费开支及时入账且经费</w:t>
      </w:r>
      <w:r>
        <w:rPr>
          <w:rFonts w:hint="eastAsia" w:ascii="仿宋" w:hAnsi="仿宋" w:eastAsia="仿宋" w:cs="仿宋"/>
          <w:color w:val="000000" w:themeColor="text1"/>
          <w:kern w:val="0"/>
          <w:sz w:val="32"/>
          <w:szCs w:val="32"/>
          <w:lang w:val="en-US" w:eastAsia="zh-CN"/>
          <w14:textFill>
            <w14:solidFill>
              <w14:schemeClr w14:val="tx1"/>
            </w14:solidFill>
          </w14:textFill>
        </w:rPr>
        <w:t>收支</w:t>
      </w:r>
      <w:r>
        <w:rPr>
          <w:rFonts w:hint="eastAsia" w:ascii="仿宋" w:hAnsi="仿宋" w:eastAsia="仿宋" w:cs="仿宋"/>
          <w:color w:val="000000" w:themeColor="text1"/>
          <w:kern w:val="0"/>
          <w:sz w:val="32"/>
          <w:szCs w:val="32"/>
          <w14:textFill>
            <w14:solidFill>
              <w14:schemeClr w14:val="tx1"/>
            </w14:solidFill>
          </w14:textFill>
        </w:rPr>
        <w:t>与服务内容相对应。承接主体应提供项目会计账簿、会计凭证、会计报表、纳税申报表等有关会计资料；</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6.经费使用情况。项目经费使用比例、资金支出符合协议的规定以及符合政府购买社会</w:t>
      </w:r>
      <w:r>
        <w:rPr>
          <w:rFonts w:hint="eastAsia" w:ascii="仿宋" w:hAnsi="仿宋" w:eastAsia="仿宋" w:cs="仿宋"/>
          <w:color w:val="000000" w:themeColor="text1"/>
          <w:kern w:val="0"/>
          <w:sz w:val="32"/>
          <w:szCs w:val="32"/>
          <w:lang w:val="en-US"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服务的</w:t>
      </w:r>
      <w:r>
        <w:rPr>
          <w:rFonts w:hint="eastAsia" w:ascii="仿宋" w:hAnsi="仿宋" w:eastAsia="仿宋" w:cs="仿宋"/>
          <w:color w:val="000000" w:themeColor="text1"/>
          <w:kern w:val="0"/>
          <w:sz w:val="32"/>
          <w:szCs w:val="32"/>
          <w:lang w:eastAsia="zh-CN"/>
          <w14:textFill>
            <w14:solidFill>
              <w14:schemeClr w14:val="tx1"/>
            </w14:solidFill>
          </w14:textFill>
        </w:rPr>
        <w:t>政策</w:t>
      </w:r>
      <w:r>
        <w:rPr>
          <w:rFonts w:hint="eastAsia" w:ascii="仿宋" w:hAnsi="仿宋" w:eastAsia="仿宋" w:cs="仿宋"/>
          <w:color w:val="000000" w:themeColor="text1"/>
          <w:kern w:val="0"/>
          <w:sz w:val="32"/>
          <w:szCs w:val="32"/>
          <w14:textFill>
            <w14:solidFill>
              <w14:schemeClr w14:val="tx1"/>
            </w14:solidFill>
          </w14:textFill>
        </w:rPr>
        <w:t>法规。聘请</w:t>
      </w:r>
      <w:r>
        <w:rPr>
          <w:rFonts w:hint="eastAsia" w:ascii="仿宋" w:hAnsi="仿宋" w:eastAsia="仿宋" w:cs="仿宋"/>
          <w:color w:val="000000" w:themeColor="text1"/>
          <w:kern w:val="0"/>
          <w:sz w:val="32"/>
          <w:szCs w:val="32"/>
          <w:lang w:val="en-US" w:eastAsia="zh-CN"/>
          <w14:textFill>
            <w14:solidFill>
              <w14:schemeClr w14:val="tx1"/>
            </w14:solidFill>
          </w14:textFill>
        </w:rPr>
        <w:t>具备相应资质的</w:t>
      </w:r>
      <w:r>
        <w:rPr>
          <w:rFonts w:hint="eastAsia" w:ascii="仿宋" w:hAnsi="仿宋" w:eastAsia="仿宋" w:cs="仿宋"/>
          <w:color w:val="000000" w:themeColor="text1"/>
          <w:kern w:val="0"/>
          <w:sz w:val="32"/>
          <w:szCs w:val="32"/>
          <w14:textFill>
            <w14:solidFill>
              <w14:schemeClr w14:val="tx1"/>
            </w14:solidFill>
          </w14:textFill>
        </w:rPr>
        <w:t>工作人员</w:t>
      </w:r>
      <w:r>
        <w:rPr>
          <w:rFonts w:hint="eastAsia" w:ascii="仿宋" w:hAnsi="仿宋" w:eastAsia="仿宋" w:cs="仿宋"/>
          <w:color w:val="000000" w:themeColor="text1"/>
          <w:kern w:val="0"/>
          <w:sz w:val="32"/>
          <w:szCs w:val="32"/>
          <w:lang w:val="en-US" w:eastAsia="zh-CN"/>
          <w14:textFill>
            <w14:solidFill>
              <w14:schemeClr w14:val="tx1"/>
            </w14:solidFill>
          </w14:textFill>
        </w:rPr>
        <w:t>和</w:t>
      </w:r>
      <w:r>
        <w:rPr>
          <w:rFonts w:hint="eastAsia" w:ascii="仿宋" w:hAnsi="仿宋" w:eastAsia="仿宋" w:cs="仿宋"/>
          <w:color w:val="000000" w:themeColor="text1"/>
          <w:kern w:val="0"/>
          <w:sz w:val="32"/>
          <w:szCs w:val="32"/>
          <w14:textFill>
            <w14:solidFill>
              <w14:schemeClr w14:val="tx1"/>
            </w14:solidFill>
          </w14:textFill>
        </w:rPr>
        <w:t>督导</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并签订</w:t>
      </w:r>
      <w:r>
        <w:rPr>
          <w:rFonts w:hint="eastAsia" w:ascii="仿宋" w:hAnsi="仿宋" w:eastAsia="仿宋" w:cs="仿宋"/>
          <w:color w:val="000000" w:themeColor="text1"/>
          <w:kern w:val="0"/>
          <w:sz w:val="32"/>
          <w:szCs w:val="32"/>
          <w14:textFill>
            <w14:solidFill>
              <w14:schemeClr w14:val="tx1"/>
            </w14:solidFill>
          </w14:textFill>
        </w:rPr>
        <w:t>合同，定岗定酬合理，收支合规。</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（五）项目成效</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1.目标实现程度。开展服务的实质效果，包括服务对象的受益情况、服务对象的改变率、服务总体目标成效评价、总体服务过程成效，如：调动社区资源、推动公共参与、搭建协商机制</w:t>
      </w:r>
      <w:r>
        <w:rPr>
          <w:rFonts w:hint="eastAsia" w:ascii="仿宋" w:hAnsi="仿宋" w:eastAsia="仿宋" w:cs="仿宋"/>
          <w:color w:val="000000" w:themeColor="text1"/>
          <w:kern w:val="0"/>
          <w:sz w:val="32"/>
          <w:szCs w:val="32"/>
          <w:lang w:val="en-US" w:eastAsia="zh-CN"/>
          <w14:textFill>
            <w14:solidFill>
              <w14:schemeClr w14:val="tx1"/>
            </w14:solidFill>
          </w14:textFill>
        </w:rPr>
        <w:t>等</w:t>
      </w:r>
      <w:r>
        <w:rPr>
          <w:rFonts w:hint="eastAsia" w:ascii="仿宋" w:hAnsi="仿宋" w:eastAsia="仿宋" w:cs="仿宋"/>
          <w:color w:val="000000" w:themeColor="text1"/>
          <w:kern w:val="0"/>
          <w:sz w:val="32"/>
          <w:szCs w:val="32"/>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2.利益相关方的沟通与服务满意。评估服务对象</w:t>
      </w:r>
      <w:r>
        <w:rPr>
          <w:rFonts w:hint="eastAsia" w:ascii="仿宋" w:hAnsi="仿宋" w:eastAsia="仿宋" w:cs="仿宋"/>
          <w:color w:val="000000" w:themeColor="text1"/>
          <w:kern w:val="0"/>
          <w:sz w:val="32"/>
          <w:szCs w:val="32"/>
          <w:lang w:val="en-US" w:eastAsia="zh-CN"/>
          <w14:textFill>
            <w14:solidFill>
              <w14:schemeClr w14:val="tx1"/>
            </w14:solidFill>
          </w14:textFill>
        </w:rPr>
        <w:t>与</w:t>
      </w:r>
      <w:r>
        <w:rPr>
          <w:rFonts w:hint="eastAsia" w:ascii="仿宋" w:hAnsi="仿宋" w:eastAsia="仿宋" w:cs="仿宋"/>
          <w:color w:val="000000" w:themeColor="text1"/>
          <w:kern w:val="0"/>
          <w:sz w:val="32"/>
          <w:szCs w:val="32"/>
          <w14:textFill>
            <w14:solidFill>
              <w14:schemeClr w14:val="tx1"/>
            </w14:solidFill>
          </w14:textFill>
        </w:rPr>
        <w:t>购买主体对社会工作服务过程与成效的满意度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服务辖区的党政有关部门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相关的职能部门和组织对承接主体工作的</w:t>
      </w:r>
      <w:r>
        <w:rPr>
          <w:rFonts w:hint="eastAsia" w:ascii="仿宋" w:hAnsi="仿宋" w:eastAsia="仿宋" w:cs="仿宋"/>
          <w:color w:val="000000" w:themeColor="text1"/>
          <w:kern w:val="0"/>
          <w:sz w:val="32"/>
          <w:szCs w:val="32"/>
          <w:lang w:val="en-US" w:eastAsia="zh-CN"/>
          <w14:textFill>
            <w14:solidFill>
              <w14:schemeClr w14:val="tx1"/>
            </w14:solidFill>
          </w14:textFill>
        </w:rPr>
        <w:t>认可程度</w:t>
      </w:r>
      <w:r>
        <w:rPr>
          <w:rFonts w:hint="eastAsia" w:ascii="仿宋" w:hAnsi="仿宋" w:eastAsia="仿宋" w:cs="仿宋"/>
          <w:color w:val="000000" w:themeColor="text1"/>
          <w:kern w:val="0"/>
          <w:sz w:val="32"/>
          <w:szCs w:val="32"/>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0" w:firstLineChars="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3.社会效益。对项目的影响力、可持续性、可推广性进行评估，包括社会反响（</w:t>
      </w:r>
      <w:r>
        <w:rPr>
          <w:rFonts w:hint="eastAsia" w:ascii="仿宋" w:hAnsi="仿宋" w:eastAsia="仿宋" w:cs="仿宋"/>
          <w:color w:val="000000" w:themeColor="text1"/>
          <w:kern w:val="0"/>
          <w:sz w:val="32"/>
          <w:szCs w:val="32"/>
          <w:lang w:val="en-US" w:eastAsia="zh-CN"/>
          <w14:textFill>
            <w14:solidFill>
              <w14:schemeClr w14:val="tx1"/>
            </w14:solidFill>
          </w14:textFill>
        </w:rPr>
        <w:t>如</w:t>
      </w:r>
      <w:r>
        <w:rPr>
          <w:rFonts w:hint="eastAsia" w:ascii="仿宋" w:hAnsi="仿宋" w:eastAsia="仿宋" w:cs="仿宋"/>
          <w:color w:val="000000" w:themeColor="text1"/>
          <w:kern w:val="0"/>
          <w:sz w:val="32"/>
          <w:szCs w:val="32"/>
          <w14:textFill>
            <w14:solidFill>
              <w14:schemeClr w14:val="tx1"/>
            </w14:solidFill>
          </w14:textFill>
        </w:rPr>
        <w:t>奖惩情况、宣传报道、研究成果）、决策影响</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即</w:t>
      </w:r>
      <w:r>
        <w:rPr>
          <w:rFonts w:hint="eastAsia" w:ascii="仿宋" w:hAnsi="仿宋" w:eastAsia="仿宋" w:cs="仿宋"/>
          <w:color w:val="000000" w:themeColor="text1"/>
          <w:kern w:val="0"/>
          <w:sz w:val="32"/>
          <w:szCs w:val="32"/>
          <w14:textFill>
            <w14:solidFill>
              <w14:schemeClr w14:val="tx1"/>
            </w14:solidFill>
          </w14:textFill>
        </w:rPr>
        <w:t>对项目可持续发展的思考与建议被相关部门采纳）、资源整合（</w:t>
      </w:r>
      <w:r>
        <w:rPr>
          <w:rFonts w:hint="eastAsia" w:ascii="仿宋" w:hAnsi="仿宋" w:eastAsia="仿宋" w:cs="仿宋"/>
          <w:color w:val="000000" w:themeColor="text1"/>
          <w:kern w:val="0"/>
          <w:sz w:val="32"/>
          <w:szCs w:val="32"/>
          <w:lang w:val="en-US" w:eastAsia="zh-CN"/>
          <w14:textFill>
            <w14:solidFill>
              <w14:schemeClr w14:val="tx1"/>
            </w14:solidFill>
          </w14:textFill>
        </w:rPr>
        <w:t>如</w:t>
      </w:r>
      <w:r>
        <w:rPr>
          <w:rFonts w:hint="eastAsia" w:ascii="仿宋" w:hAnsi="仿宋" w:eastAsia="仿宋" w:cs="仿宋"/>
          <w:color w:val="000000" w:themeColor="text1"/>
          <w:kern w:val="0"/>
          <w:sz w:val="32"/>
          <w:szCs w:val="32"/>
          <w14:textFill>
            <w14:solidFill>
              <w14:schemeClr w14:val="tx1"/>
            </w14:solidFill>
          </w14:textFill>
        </w:rPr>
        <w:t>组织参与、社会捐赠、志愿者参与）、服务模式的提炼与总结。</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pPr>
      <w:r>
        <w:rPr>
          <w:rFonts w:hint="eastAsia" w:ascii="仿宋" w:hAnsi="仿宋" w:eastAsia="仿宋" w:cs="仿宋"/>
          <w:b/>
          <w:color w:val="000000" w:themeColor="text1"/>
          <w:kern w:val="0"/>
          <w:sz w:val="32"/>
          <w:szCs w:val="32"/>
          <w14:textFill>
            <w14:solidFill>
              <w14:schemeClr w14:val="tx1"/>
            </w14:solidFill>
          </w14:textFill>
        </w:rPr>
        <w:t>第十五条</w:t>
      </w:r>
      <w:r>
        <w:rPr>
          <w:rFonts w:hint="eastAsia" w:ascii="仿宋" w:hAnsi="仿宋" w:eastAsia="仿宋" w:cs="仿宋"/>
          <w:color w:val="000000" w:themeColor="text1"/>
          <w:kern w:val="0"/>
          <w:sz w:val="32"/>
          <w:szCs w:val="32"/>
          <w14:textFill>
            <w14:solidFill>
              <w14:schemeClr w14:val="tx1"/>
            </w14:solidFill>
          </w14:textFill>
        </w:rPr>
        <w:t xml:space="preserve">  购买主体</w:t>
      </w:r>
      <w:r>
        <w:rPr>
          <w:rFonts w:hint="eastAsia" w:ascii="仿宋" w:hAnsi="仿宋" w:eastAsia="仿宋" w:cs="仿宋"/>
          <w:color w:val="000000" w:themeColor="text1"/>
          <w:kern w:val="0"/>
          <w:sz w:val="32"/>
          <w:szCs w:val="32"/>
          <w:lang w:val="en-US" w:eastAsia="zh-CN"/>
          <w14:textFill>
            <w14:solidFill>
              <w14:schemeClr w14:val="tx1"/>
            </w14:solidFill>
          </w14:textFill>
        </w:rPr>
        <w:t>组织对</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实施效果进行</w:t>
      </w:r>
      <w:r>
        <w:rPr>
          <w:rFonts w:hint="eastAsia" w:ascii="仿宋" w:hAnsi="仿宋" w:eastAsia="仿宋" w:cs="仿宋"/>
          <w:color w:val="000000" w:themeColor="text1"/>
          <w:kern w:val="0"/>
          <w:sz w:val="32"/>
          <w:szCs w:val="32"/>
          <w14:textFill>
            <w14:solidFill>
              <w14:schemeClr w14:val="tx1"/>
            </w14:solidFill>
          </w14:textFill>
        </w:rPr>
        <w:t>评估</w:t>
      </w:r>
      <w:r>
        <w:rPr>
          <w:rFonts w:hint="eastAsia" w:ascii="仿宋" w:hAnsi="仿宋" w:eastAsia="仿宋" w:cs="仿宋"/>
          <w:color w:val="000000" w:themeColor="text1"/>
          <w:kern w:val="0"/>
          <w:sz w:val="32"/>
          <w:szCs w:val="32"/>
          <w:lang w:val="en-US" w:eastAsia="zh-CN"/>
          <w14:textFill>
            <w14:solidFill>
              <w14:schemeClr w14:val="tx1"/>
            </w14:solidFill>
          </w14:textFill>
        </w:rPr>
        <w:t>验收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出具验收报告和评估结论。</w:t>
      </w:r>
      <w:r>
        <w:rPr>
          <w:rFonts w:hint="eastAsia" w:ascii="仿宋" w:hAnsi="仿宋" w:eastAsia="仿宋" w:cs="仿宋"/>
          <w:color w:val="000000" w:themeColor="text1"/>
          <w:kern w:val="0"/>
          <w:sz w:val="32"/>
          <w:szCs w:val="32"/>
          <w14:textFill>
            <w14:solidFill>
              <w14:schemeClr w14:val="tx1"/>
            </w14:solidFill>
          </w14:textFill>
        </w:rPr>
        <w:t>评估主要围绕整体评价、专业服务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运营与管理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服务成效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财务管理五个板块。按照整体评价</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专业服务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运营与管理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服务成效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财务管理这五个板块分别进行评分，每个板块满分</w:t>
      </w:r>
      <w:r>
        <w:rPr>
          <w:rFonts w:hint="eastAsia" w:ascii="仿宋" w:hAnsi="仿宋" w:eastAsia="仿宋" w:cs="仿宋"/>
          <w:color w:val="000000" w:themeColor="text1"/>
          <w:kern w:val="0"/>
          <w:sz w:val="32"/>
          <w:szCs w:val="32"/>
          <w:lang w:val="en-US" w:eastAsia="zh-CN"/>
          <w14:textFill>
            <w14:solidFill>
              <w14:schemeClr w14:val="tx1"/>
            </w14:solidFill>
          </w14:textFill>
        </w:rPr>
        <w:t>为</w:t>
      </w:r>
      <w:r>
        <w:rPr>
          <w:rFonts w:hint="eastAsia" w:ascii="仿宋" w:hAnsi="仿宋" w:eastAsia="仿宋" w:cs="仿宋"/>
          <w:color w:val="000000" w:themeColor="text1"/>
          <w:kern w:val="0"/>
          <w:sz w:val="32"/>
          <w:szCs w:val="32"/>
          <w14:textFill>
            <w14:solidFill>
              <w14:schemeClr w14:val="tx1"/>
            </w14:solidFill>
          </w14:textFill>
        </w:rPr>
        <w:t>100分，总得分按各板块所占百分比进行</w:t>
      </w:r>
      <w:r>
        <w:rPr>
          <w:rFonts w:hint="eastAsia" w:ascii="仿宋" w:hAnsi="仿宋" w:eastAsia="仿宋" w:cs="仿宋"/>
          <w:color w:val="000000" w:themeColor="text1"/>
          <w:kern w:val="0"/>
          <w:sz w:val="32"/>
          <w:szCs w:val="32"/>
          <w:highlight w:val="none"/>
          <w14:textFill>
            <w14:solidFill>
              <w14:schemeClr w14:val="tx1"/>
            </w14:solidFill>
          </w14:textFill>
        </w:rPr>
        <w:t>加权。</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中、末期评估，各版块加权分值如下：</w:t>
      </w:r>
    </w:p>
    <w:tbl>
      <w:tblPr>
        <w:tblStyle w:val="1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522"/>
        <w:gridCol w:w="1453"/>
        <w:gridCol w:w="1785"/>
        <w:gridCol w:w="1768"/>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070" w:type="dxa"/>
          </w:tcPr>
          <w:p>
            <w:pPr>
              <w:jc w:val="center"/>
              <w:rPr>
                <w:rFonts w:ascii="仿宋" w:hAnsi="仿宋" w:eastAsia="仿宋" w:cs="仿宋"/>
                <w:color w:val="000000" w:themeColor="text1"/>
                <w:kern w:val="0"/>
                <w:sz w:val="32"/>
                <w:szCs w:val="32"/>
                <w:highlight w:val="none"/>
                <w14:textFill>
                  <w14:solidFill>
                    <w14:schemeClr w14:val="tx1"/>
                  </w14:solidFill>
                </w14:textFill>
              </w:rPr>
            </w:pPr>
          </w:p>
        </w:tc>
        <w:tc>
          <w:tcPr>
            <w:tcW w:w="1522" w:type="dxa"/>
          </w:tcPr>
          <w:p>
            <w:pPr>
              <w:jc w:val="center"/>
              <w:rPr>
                <w:rFonts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28"/>
                <w:szCs w:val="32"/>
                <w:highlight w:val="none"/>
                <w14:textFill>
                  <w14:solidFill>
                    <w14:schemeClr w14:val="tx1"/>
                  </w14:solidFill>
                </w14:textFill>
              </w:rPr>
              <w:t>整体评价</w:t>
            </w:r>
          </w:p>
        </w:tc>
        <w:tc>
          <w:tcPr>
            <w:tcW w:w="1453" w:type="dxa"/>
          </w:tcPr>
          <w:p>
            <w:pPr>
              <w:jc w:val="center"/>
              <w:rPr>
                <w:rFonts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28"/>
                <w:szCs w:val="32"/>
                <w:highlight w:val="none"/>
                <w14:textFill>
                  <w14:solidFill>
                    <w14:schemeClr w14:val="tx1"/>
                  </w14:solidFill>
                </w14:textFill>
              </w:rPr>
              <w:t>专业服务</w:t>
            </w:r>
          </w:p>
        </w:tc>
        <w:tc>
          <w:tcPr>
            <w:tcW w:w="1785" w:type="dxa"/>
          </w:tcPr>
          <w:p>
            <w:pPr>
              <w:jc w:val="center"/>
              <w:rPr>
                <w:rFonts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28"/>
                <w:szCs w:val="32"/>
                <w:highlight w:val="none"/>
                <w14:textFill>
                  <w14:solidFill>
                    <w14:schemeClr w14:val="tx1"/>
                  </w14:solidFill>
                </w14:textFill>
              </w:rPr>
              <w:t>运营与管理</w:t>
            </w:r>
          </w:p>
        </w:tc>
        <w:tc>
          <w:tcPr>
            <w:tcW w:w="1768" w:type="dxa"/>
          </w:tcPr>
          <w:p>
            <w:pPr>
              <w:jc w:val="center"/>
              <w:rPr>
                <w:rFonts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28"/>
                <w:szCs w:val="32"/>
                <w:highlight w:val="none"/>
                <w14:textFill>
                  <w14:solidFill>
                    <w14:schemeClr w14:val="tx1"/>
                  </w14:solidFill>
                </w14:textFill>
              </w:rPr>
              <w:t>服务成效</w:t>
            </w:r>
          </w:p>
        </w:tc>
        <w:tc>
          <w:tcPr>
            <w:tcW w:w="1540" w:type="dxa"/>
          </w:tcPr>
          <w:p>
            <w:pPr>
              <w:jc w:val="center"/>
              <w:rPr>
                <w:rFonts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28"/>
                <w:szCs w:val="32"/>
                <w:highlight w:val="none"/>
                <w14:textFill>
                  <w14:solidFill>
                    <w14:schemeClr w14:val="tx1"/>
                  </w14:solidFill>
                </w14:textFill>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70"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中 期</w:t>
            </w:r>
          </w:p>
        </w:tc>
        <w:tc>
          <w:tcPr>
            <w:tcW w:w="1522"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20%</w:t>
            </w:r>
          </w:p>
        </w:tc>
        <w:tc>
          <w:tcPr>
            <w:tcW w:w="1453"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30%</w:t>
            </w:r>
          </w:p>
        </w:tc>
        <w:tc>
          <w:tcPr>
            <w:tcW w:w="1785"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20%</w:t>
            </w:r>
          </w:p>
        </w:tc>
        <w:tc>
          <w:tcPr>
            <w:tcW w:w="1768"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15%</w:t>
            </w:r>
          </w:p>
        </w:tc>
        <w:tc>
          <w:tcPr>
            <w:tcW w:w="1540"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70"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末 期</w:t>
            </w:r>
          </w:p>
        </w:tc>
        <w:tc>
          <w:tcPr>
            <w:tcW w:w="1522"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10%</w:t>
            </w:r>
          </w:p>
        </w:tc>
        <w:tc>
          <w:tcPr>
            <w:tcW w:w="1453"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40%</w:t>
            </w:r>
          </w:p>
        </w:tc>
        <w:tc>
          <w:tcPr>
            <w:tcW w:w="1785"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15%</w:t>
            </w:r>
          </w:p>
        </w:tc>
        <w:tc>
          <w:tcPr>
            <w:tcW w:w="1768"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20%</w:t>
            </w:r>
          </w:p>
        </w:tc>
        <w:tc>
          <w:tcPr>
            <w:tcW w:w="1540" w:type="dxa"/>
          </w:tcPr>
          <w:p>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15%</w:t>
            </w:r>
          </w:p>
        </w:tc>
      </w:tr>
    </w:tbl>
    <w:p>
      <w:pPr>
        <w:pStyle w:val="18"/>
        <w:keepNext w:val="0"/>
        <w:keepLines w:val="0"/>
        <w:pageBreakBefore w:val="0"/>
        <w:widowControl/>
        <w:kinsoku/>
        <w:wordWrap/>
        <w:overflowPunct/>
        <w:topLinePunct w:val="0"/>
        <w:autoSpaceDE/>
        <w:autoSpaceDN/>
        <w:bidi w:val="0"/>
        <w:adjustRightInd w:val="0"/>
        <w:snapToGrid w:val="0"/>
        <w:spacing w:before="157" w:beforeLines="50" w:line="360" w:lineRule="auto"/>
        <w:ind w:firstLine="641"/>
        <w:jc w:val="left"/>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若项目由会计师事务所进行财务审计，财务管理独立评分，</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专业服务、运营与管理和服务管理在原有的加权分值基础上各增加5%。</w:t>
      </w:r>
    </w:p>
    <w:p>
      <w:pPr>
        <w:pStyle w:val="18"/>
        <w:keepNext w:val="0"/>
        <w:keepLines w:val="0"/>
        <w:pageBreakBefore w:val="0"/>
        <w:widowControl/>
        <w:kinsoku/>
        <w:wordWrap/>
        <w:overflowPunct/>
        <w:topLinePunct w:val="0"/>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第五章 评估程序</w:t>
      </w: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评估小组组织社会工作服务项目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评估</w:t>
      </w:r>
      <w:r>
        <w:rPr>
          <w:rFonts w:hint="eastAsia" w:ascii="仿宋" w:hAnsi="仿宋" w:eastAsia="仿宋" w:cs="仿宋"/>
          <w:color w:val="000000" w:themeColor="text1"/>
          <w:kern w:val="0"/>
          <w:sz w:val="32"/>
          <w:szCs w:val="32"/>
          <w:highlight w:val="none"/>
          <w14:textFill>
            <w14:solidFill>
              <w14:schemeClr w14:val="tx1"/>
            </w14:solidFill>
          </w14:textFill>
        </w:rPr>
        <w:t>的程序如下：</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（一）制定评估方案。评估方案内容包括：评估标准、基本方法、进度安排、人员安排、经费预算、风险控制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（二）组织人员。对组织参加的专业评估团队，要针对项目进行评估培训和学习。</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（三）发送通知。评估方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原则上要</w:t>
      </w:r>
      <w:r>
        <w:rPr>
          <w:rFonts w:hint="eastAsia" w:ascii="仿宋" w:hAnsi="仿宋" w:eastAsia="仿宋" w:cs="仿宋"/>
          <w:color w:val="000000" w:themeColor="text1"/>
          <w:kern w:val="0"/>
          <w:sz w:val="32"/>
          <w:szCs w:val="32"/>
          <w:highlight w:val="none"/>
          <w14:textFill>
            <w14:solidFill>
              <w14:schemeClr w14:val="tx1"/>
            </w14:solidFill>
          </w14:textFill>
        </w:rPr>
        <w:t>提前</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个工作日，书面</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通知</w:t>
      </w:r>
      <w:r>
        <w:rPr>
          <w:rFonts w:hint="eastAsia" w:ascii="仿宋" w:hAnsi="仿宋" w:eastAsia="仿宋" w:cs="仿宋"/>
          <w:color w:val="000000" w:themeColor="text1"/>
          <w:kern w:val="0"/>
          <w:sz w:val="32"/>
          <w:szCs w:val="32"/>
          <w:highlight w:val="none"/>
          <w14:textFill>
            <w14:solidFill>
              <w14:schemeClr w14:val="tx1"/>
            </w14:solidFill>
          </w14:textFill>
        </w:rPr>
        <w:t>被评估方评估的具体要求、评估标准、操作细则及安排。</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（四）开展自评。被评估方根据评估要求填写自评表，撰写</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自评</w:t>
      </w:r>
      <w:r>
        <w:rPr>
          <w:rFonts w:hint="eastAsia" w:ascii="仿宋" w:hAnsi="仿宋" w:eastAsia="仿宋" w:cs="仿宋"/>
          <w:color w:val="000000" w:themeColor="text1"/>
          <w:kern w:val="0"/>
          <w:sz w:val="32"/>
          <w:szCs w:val="32"/>
          <w:highlight w:val="none"/>
          <w14:textFill>
            <w14:solidFill>
              <w14:schemeClr w14:val="tx1"/>
            </w14:solidFill>
          </w14:textFill>
        </w:rPr>
        <w:t>报告或者自评总结工作，在收到评估通知后5个工作日内提交自评报告。</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（五）实施评估。评估执行方在收到自评报告和相关材料后及时组织评估。评估实施过程中，被评估方应根据评估需要，及时向评估执行方提供项目相关的各类资料。</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评估环节主要包括以下环节：</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1.项目承接方</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代表</w:t>
      </w:r>
      <w:r>
        <w:rPr>
          <w:rFonts w:hint="eastAsia" w:ascii="仿宋" w:hAnsi="仿宋" w:eastAsia="仿宋" w:cs="仿宋"/>
          <w:color w:val="000000" w:themeColor="text1"/>
          <w:kern w:val="0"/>
          <w:sz w:val="32"/>
          <w:szCs w:val="32"/>
          <w:highlight w:val="none"/>
          <w14:textFill>
            <w14:solidFill>
              <w14:schemeClr w14:val="tx1"/>
            </w14:solidFill>
          </w14:textFill>
        </w:rPr>
        <w:t>陈述项目内容和服务成效；</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2.回应合同要求的服务文档材料审核；</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3.服务对象、购买方及利益相关方访谈；</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4.项目工作人员资质审核；</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5.财务材料审核；</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可根据社会工作服务项目具体情况选择</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以下内容</w:t>
      </w:r>
      <w:r>
        <w:rPr>
          <w:rFonts w:hint="eastAsia" w:ascii="仿宋" w:hAnsi="仿宋" w:eastAsia="仿宋" w:cs="仿宋"/>
          <w:color w:val="000000" w:themeColor="text1"/>
          <w:kern w:val="0"/>
          <w:sz w:val="32"/>
          <w:szCs w:val="32"/>
          <w:highlight w:val="none"/>
          <w14:textFill>
            <w14:solidFill>
              <w14:schemeClr w14:val="tx1"/>
            </w14:solidFill>
          </w14:textFill>
        </w:rPr>
        <w:t>纳入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到</w:t>
      </w:r>
      <w:r>
        <w:rPr>
          <w:rFonts w:hint="eastAsia" w:ascii="仿宋" w:hAnsi="仿宋" w:eastAsia="仿宋" w:cs="仿宋"/>
          <w:color w:val="000000" w:themeColor="text1"/>
          <w:kern w:val="0"/>
          <w:sz w:val="32"/>
          <w:szCs w:val="32"/>
          <w:highlight w:val="none"/>
          <w14:textFill>
            <w14:solidFill>
              <w14:schemeClr w14:val="tx1"/>
            </w14:solidFill>
          </w14:textFill>
        </w:rPr>
        <w:t>评估环节：</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1.服务对象满意度调查；</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2.过程评估；</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3.参与式评估（观摩服务现场、观察服务对象、评估服务成效）；</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（六）出具报告。评估报告内容应</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按照合同约定并结合评估标准撰写报告，内容</w:t>
      </w:r>
      <w:r>
        <w:rPr>
          <w:rFonts w:hint="eastAsia" w:ascii="仿宋" w:hAnsi="仿宋" w:eastAsia="仿宋" w:cs="仿宋"/>
          <w:color w:val="000000" w:themeColor="text1"/>
          <w:kern w:val="0"/>
          <w:sz w:val="32"/>
          <w:szCs w:val="32"/>
          <w:highlight w:val="none"/>
          <w14:textFill>
            <w14:solidFill>
              <w14:schemeClr w14:val="tx1"/>
            </w14:solidFill>
          </w14:textFill>
        </w:rPr>
        <w:t>包括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不限于专业评估组成员资质、</w:t>
      </w:r>
      <w:r>
        <w:rPr>
          <w:rFonts w:hint="eastAsia" w:ascii="仿宋" w:hAnsi="仿宋" w:eastAsia="仿宋" w:cs="仿宋"/>
          <w:color w:val="000000" w:themeColor="text1"/>
          <w:kern w:val="0"/>
          <w:sz w:val="32"/>
          <w:szCs w:val="32"/>
          <w:highlight w:val="none"/>
          <w14:textFill>
            <w14:solidFill>
              <w14:schemeClr w14:val="tx1"/>
            </w14:solidFill>
          </w14:textFill>
        </w:rPr>
        <w:t>评估开展情况</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项目及执行基本情况</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评估结论及建议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（七）评估执行方撰写完成评估报告后，评估报告</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应以文字版</w:t>
      </w:r>
      <w:r>
        <w:rPr>
          <w:rFonts w:hint="eastAsia" w:ascii="仿宋" w:hAnsi="仿宋" w:eastAsia="仿宋" w:cs="仿宋"/>
          <w:color w:val="000000" w:themeColor="text1"/>
          <w:kern w:val="0"/>
          <w:sz w:val="32"/>
          <w:szCs w:val="32"/>
          <w:highlight w:val="none"/>
          <w14:textFill>
            <w14:solidFill>
              <w14:schemeClr w14:val="tx1"/>
            </w14:solidFill>
          </w14:textFill>
        </w:rPr>
        <w:t>的形式，就初步评估结果与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购买主体</w:t>
      </w:r>
      <w:r>
        <w:rPr>
          <w:rFonts w:hint="eastAsia" w:ascii="仿宋" w:hAnsi="仿宋" w:eastAsia="仿宋" w:cs="仿宋"/>
          <w:color w:val="000000" w:themeColor="text1"/>
          <w:kern w:val="0"/>
          <w:sz w:val="32"/>
          <w:szCs w:val="32"/>
          <w:highlight w:val="none"/>
          <w14:textFill>
            <w14:solidFill>
              <w14:schemeClr w14:val="tx1"/>
            </w14:solidFill>
          </w14:textFill>
        </w:rPr>
        <w:t>进行沟通，征询</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购买主体</w:t>
      </w:r>
      <w:r>
        <w:rPr>
          <w:rFonts w:hint="eastAsia" w:ascii="仿宋" w:hAnsi="仿宋" w:eastAsia="仿宋" w:cs="仿宋"/>
          <w:color w:val="000000" w:themeColor="text1"/>
          <w:kern w:val="0"/>
          <w:sz w:val="32"/>
          <w:szCs w:val="32"/>
          <w:highlight w:val="none"/>
          <w14:textFill>
            <w14:solidFill>
              <w14:schemeClr w14:val="tx1"/>
            </w14:solidFill>
          </w14:textFill>
        </w:rPr>
        <w:t>意见。评估报告结果出来后，如果被评估方需要申诉，可在接到评估报告5</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个工作</w:t>
      </w:r>
      <w:r>
        <w:rPr>
          <w:rFonts w:hint="eastAsia" w:ascii="仿宋" w:hAnsi="仿宋" w:eastAsia="仿宋" w:cs="仿宋"/>
          <w:color w:val="000000" w:themeColor="text1"/>
          <w:kern w:val="0"/>
          <w:sz w:val="32"/>
          <w:szCs w:val="32"/>
          <w:highlight w:val="none"/>
          <w14:textFill>
            <w14:solidFill>
              <w14:schemeClr w14:val="tx1"/>
            </w14:solidFill>
          </w14:textFill>
        </w:rPr>
        <w:t>日内</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以</w:t>
      </w:r>
      <w:r>
        <w:rPr>
          <w:rFonts w:hint="eastAsia" w:ascii="仿宋" w:hAnsi="仿宋" w:eastAsia="仿宋" w:cs="仿宋"/>
          <w:color w:val="000000" w:themeColor="text1"/>
          <w:kern w:val="0"/>
          <w:sz w:val="32"/>
          <w:szCs w:val="32"/>
          <w:highlight w:val="none"/>
          <w:lang w:eastAsia="zh-CN"/>
          <w14:textFill>
            <w14:solidFill>
              <w14:schemeClr w14:val="tx1"/>
            </w14:solidFill>
          </w14:textFill>
        </w:rPr>
        <w:t>书面</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的形式</w:t>
      </w:r>
      <w:r>
        <w:rPr>
          <w:rFonts w:hint="eastAsia" w:ascii="仿宋" w:hAnsi="仿宋" w:eastAsia="仿宋" w:cs="仿宋"/>
          <w:color w:val="000000" w:themeColor="text1"/>
          <w:kern w:val="0"/>
          <w:sz w:val="32"/>
          <w:szCs w:val="32"/>
          <w:highlight w:val="none"/>
          <w14:textFill>
            <w14:solidFill>
              <w14:schemeClr w14:val="tx1"/>
            </w14:solidFill>
          </w14:textFill>
        </w:rPr>
        <w:t>向购买主体反映。购买主体</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在与评估方核实情况后，可决定是否</w:t>
      </w:r>
      <w:r>
        <w:rPr>
          <w:rFonts w:hint="eastAsia" w:ascii="仿宋" w:hAnsi="仿宋" w:eastAsia="仿宋" w:cs="仿宋"/>
          <w:color w:val="000000" w:themeColor="text1"/>
          <w:kern w:val="0"/>
          <w:sz w:val="32"/>
          <w:szCs w:val="32"/>
          <w:highlight w:val="none"/>
          <w14:textFill>
            <w14:solidFill>
              <w14:schemeClr w14:val="tx1"/>
            </w14:solidFill>
          </w14:textFill>
        </w:rPr>
        <w:t>组织专门工作小组进行复核，复核结果为最终结果，</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确需修改</w:t>
      </w:r>
      <w:r>
        <w:rPr>
          <w:rFonts w:hint="eastAsia" w:ascii="仿宋" w:hAnsi="仿宋" w:eastAsia="仿宋" w:cs="仿宋"/>
          <w:color w:val="000000" w:themeColor="text1"/>
          <w:kern w:val="0"/>
          <w:sz w:val="32"/>
          <w:szCs w:val="32"/>
          <w:highlight w:val="none"/>
          <w14:textFill>
            <w14:solidFill>
              <w14:schemeClr w14:val="tx1"/>
            </w14:solidFill>
          </w14:textFill>
        </w:rPr>
        <w:t>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结果的，应</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由</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评估方</w:t>
      </w:r>
      <w:r>
        <w:rPr>
          <w:rFonts w:hint="eastAsia" w:ascii="仿宋" w:hAnsi="仿宋" w:eastAsia="仿宋" w:cs="仿宋"/>
          <w:color w:val="000000" w:themeColor="text1"/>
          <w:kern w:val="0"/>
          <w:sz w:val="32"/>
          <w:szCs w:val="32"/>
          <w:highlight w:val="none"/>
          <w14:textFill>
            <w14:solidFill>
              <w14:schemeClr w14:val="tx1"/>
            </w14:solidFill>
          </w14:textFill>
        </w:rPr>
        <w:t>以评估报告形式</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最终呈现</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color w:val="000000" w:themeColor="text1"/>
          <w:kern w:val="0"/>
          <w:sz w:val="32"/>
          <w:szCs w:val="32"/>
          <w:highlight w:val="none"/>
          <w14:textFill>
            <w14:solidFill>
              <w14:schemeClr w14:val="tx1"/>
            </w14:solidFill>
          </w14:textFill>
        </w:rPr>
      </w:pP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第六章 评估结果</w:t>
      </w:r>
    </w:p>
    <w:p>
      <w:pPr>
        <w:pStyle w:val="18"/>
        <w:widowControl/>
        <w:adjustRightInd w:val="0"/>
        <w:snapToGrid w:val="0"/>
        <w:spacing w:line="360" w:lineRule="auto"/>
        <w:ind w:firstLine="0" w:firstLineChars="0"/>
        <w:jc w:val="center"/>
        <w:rPr>
          <w:rFonts w:ascii="仿宋" w:hAnsi="仿宋" w:eastAsia="仿宋" w:cs="仿宋"/>
          <w:color w:val="000000" w:themeColor="text1"/>
          <w:kern w:val="0"/>
          <w:sz w:val="32"/>
          <w:szCs w:val="32"/>
          <w:highlight w:val="none"/>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评估等次。服务项目的综合考核评估结果分优秀、良好、合格和不合格</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kern w:val="0"/>
          <w:sz w:val="32"/>
          <w:szCs w:val="32"/>
          <w:highlight w:val="none"/>
          <w14:textFill>
            <w14:solidFill>
              <w14:schemeClr w14:val="tx1"/>
            </w14:solidFill>
          </w14:textFill>
        </w:rPr>
        <w:t>个等次</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其中，</w:t>
      </w:r>
      <w:r>
        <w:rPr>
          <w:rFonts w:hint="eastAsia" w:ascii="仿宋" w:hAnsi="仿宋" w:eastAsia="仿宋" w:cs="仿宋"/>
          <w:color w:val="000000" w:themeColor="text1"/>
          <w:kern w:val="0"/>
          <w:sz w:val="32"/>
          <w:szCs w:val="32"/>
          <w:highlight w:val="none"/>
          <w14:textFill>
            <w14:solidFill>
              <w14:schemeClr w14:val="tx1"/>
            </w14:solidFill>
          </w14:textFill>
        </w:rPr>
        <w:t>90分</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及</w:t>
      </w:r>
      <w:r>
        <w:rPr>
          <w:rFonts w:hint="eastAsia" w:ascii="仿宋" w:hAnsi="仿宋" w:eastAsia="仿宋" w:cs="仿宋"/>
          <w:color w:val="000000" w:themeColor="text1"/>
          <w:kern w:val="0"/>
          <w:sz w:val="32"/>
          <w:szCs w:val="32"/>
          <w:highlight w:val="none"/>
          <w14:textFill>
            <w14:solidFill>
              <w14:schemeClr w14:val="tx1"/>
            </w14:solidFill>
          </w14:textFill>
        </w:rPr>
        <w:t>以上为优秀、</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75分</w:t>
      </w:r>
      <w:r>
        <w:rPr>
          <w:rFonts w:hint="eastAsia" w:ascii="仿宋" w:hAnsi="仿宋" w:eastAsia="仿宋" w:cs="仿宋"/>
          <w:color w:val="000000" w:themeColor="text1"/>
          <w:kern w:val="0"/>
          <w:sz w:val="32"/>
          <w:szCs w:val="32"/>
          <w:highlight w:val="none"/>
          <w14:textFill>
            <w14:solidFill>
              <w14:schemeClr w14:val="tx1"/>
            </w14:solidFill>
          </w14:textFill>
        </w:rPr>
        <w:t>(含</w:t>
      </w:r>
      <w:r>
        <w:rPr>
          <w:rFonts w:hint="eastAsia" w:ascii="仿宋" w:hAnsi="仿宋" w:eastAsia="仿宋" w:cs="仿宋"/>
          <w:strike w:val="0"/>
          <w:dstrike w:val="0"/>
          <w:color w:val="000000" w:themeColor="text1"/>
          <w:kern w:val="0"/>
          <w:sz w:val="32"/>
          <w:szCs w:val="32"/>
          <w:highlight w:val="none"/>
          <w:lang w:val="en-US" w:eastAsia="zh-CN"/>
          <w14:textFill>
            <w14:solidFill>
              <w14:schemeClr w14:val="tx1"/>
            </w14:solidFill>
          </w14:textFill>
        </w:rPr>
        <w:t>75分</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90</w:t>
      </w:r>
      <w:r>
        <w:rPr>
          <w:rFonts w:hint="eastAsia" w:ascii="仿宋" w:hAnsi="仿宋" w:eastAsia="仿宋" w:cs="仿宋"/>
          <w:color w:val="000000" w:themeColor="text1"/>
          <w:kern w:val="0"/>
          <w:sz w:val="32"/>
          <w:szCs w:val="32"/>
          <w:highlight w:val="none"/>
          <w14:textFill>
            <w14:solidFill>
              <w14:schemeClr w14:val="tx1"/>
            </w14:solidFill>
          </w14:textFill>
        </w:rPr>
        <w:t>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不含90分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为良好、60</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分</w:t>
      </w:r>
      <w:r>
        <w:rPr>
          <w:rFonts w:hint="eastAsia" w:ascii="仿宋" w:hAnsi="仿宋" w:eastAsia="仿宋" w:cs="仿宋"/>
          <w:color w:val="000000" w:themeColor="text1"/>
          <w:kern w:val="0"/>
          <w:sz w:val="32"/>
          <w:szCs w:val="32"/>
          <w:highlight w:val="none"/>
          <w14:textFill>
            <w14:solidFill>
              <w14:schemeClr w14:val="tx1"/>
            </w14:solidFill>
          </w14:textFill>
        </w:rPr>
        <w:t>(含</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60分</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75</w:t>
      </w:r>
      <w:r>
        <w:rPr>
          <w:rFonts w:hint="eastAsia" w:ascii="仿宋" w:hAnsi="仿宋" w:eastAsia="仿宋" w:cs="仿宋"/>
          <w:color w:val="000000" w:themeColor="text1"/>
          <w:kern w:val="0"/>
          <w:sz w:val="32"/>
          <w:szCs w:val="32"/>
          <w:highlight w:val="none"/>
          <w14:textFill>
            <w14:solidFill>
              <w14:schemeClr w14:val="tx1"/>
            </w14:solidFill>
          </w14:textFill>
        </w:rPr>
        <w:t>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不含75分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为合格、60分以下为不合格。</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第十</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评估结果运用。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福州市民政领域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政府购买社会工作服务项目评估结果与项目后续购买、项目承接机构等级评估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项目经费支付</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等相关联</w:t>
      </w:r>
      <w:r>
        <w:rPr>
          <w:rFonts w:hint="eastAsia" w:ascii="仿宋" w:hAnsi="仿宋" w:eastAsia="仿宋" w:cs="仿宋"/>
          <w:color w:val="000000" w:themeColor="text1"/>
          <w:kern w:val="0"/>
          <w:sz w:val="32"/>
          <w:szCs w:val="32"/>
          <w:highlight w:val="none"/>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中期专业评估结果为合格的，令其限期提出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改进</w:t>
      </w:r>
      <w:r>
        <w:rPr>
          <w:rFonts w:hint="eastAsia" w:ascii="仿宋" w:hAnsi="仿宋" w:eastAsia="仿宋" w:cs="仿宋"/>
          <w:color w:val="000000" w:themeColor="text1"/>
          <w:kern w:val="0"/>
          <w:sz w:val="32"/>
          <w:szCs w:val="32"/>
          <w:highlight w:val="none"/>
          <w14:textFill>
            <w14:solidFill>
              <w14:schemeClr w14:val="tx1"/>
            </w14:solidFill>
          </w14:textFill>
        </w:rPr>
        <w:t>方案并进行</w:t>
      </w:r>
      <w:r>
        <w:rPr>
          <w:rFonts w:hint="eastAsia" w:ascii="仿宋" w:hAnsi="仿宋" w:eastAsia="仿宋" w:cs="仿宋"/>
          <w:color w:val="000000" w:themeColor="text1"/>
          <w:kern w:val="0"/>
          <w:sz w:val="32"/>
          <w:szCs w:val="32"/>
          <w:highlight w:val="none"/>
          <w:lang w:eastAsia="zh-CN"/>
          <w14:textFill>
            <w14:solidFill>
              <w14:schemeClr w14:val="tx1"/>
            </w14:solidFill>
          </w14:textFill>
        </w:rPr>
        <w:t>改进</w:t>
      </w:r>
      <w:r>
        <w:rPr>
          <w:rFonts w:hint="eastAsia" w:ascii="仿宋" w:hAnsi="仿宋" w:eastAsia="仿宋" w:cs="仿宋"/>
          <w:color w:val="000000" w:themeColor="text1"/>
          <w:kern w:val="0"/>
          <w:sz w:val="32"/>
          <w:szCs w:val="32"/>
          <w:highlight w:val="none"/>
          <w14:textFill>
            <w14:solidFill>
              <w14:schemeClr w14:val="tx1"/>
            </w14:solidFill>
          </w14:textFill>
        </w:rPr>
        <w:t>；中期专业评估结果为不合格的，责令其在1个月内进行整改；末期专业评估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结果</w:t>
      </w:r>
      <w:r>
        <w:rPr>
          <w:rFonts w:hint="eastAsia" w:ascii="仿宋" w:hAnsi="仿宋" w:eastAsia="仿宋" w:cs="仿宋"/>
          <w:color w:val="000000" w:themeColor="text1"/>
          <w:kern w:val="0"/>
          <w:sz w:val="32"/>
          <w:szCs w:val="32"/>
          <w:highlight w:val="none"/>
          <w14:textFill>
            <w14:solidFill>
              <w14:schemeClr w14:val="tx1"/>
            </w14:solidFill>
          </w14:textFill>
        </w:rPr>
        <w:t>为不合格的，取消该项目承接机构次年承接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highlight w:val="none"/>
          <w14:textFill>
            <w14:solidFill>
              <w14:schemeClr w14:val="tx1"/>
            </w14:solidFill>
          </w14:textFill>
        </w:rPr>
        <w:t>政府购买社会服务项目资格；由于任务未完成导致不合格的，项目承接主体要继续提供服务直至完成</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该</w:t>
      </w:r>
      <w:r>
        <w:rPr>
          <w:rFonts w:hint="eastAsia" w:ascii="仿宋" w:hAnsi="仿宋" w:eastAsia="仿宋" w:cs="仿宋"/>
          <w:color w:val="000000" w:themeColor="text1"/>
          <w:kern w:val="0"/>
          <w:sz w:val="32"/>
          <w:szCs w:val="32"/>
          <w:highlight w:val="none"/>
          <w14:textFill>
            <w14:solidFill>
              <w14:schemeClr w14:val="tx1"/>
            </w14:solidFill>
          </w14:textFill>
        </w:rPr>
        <w:t>项目合同所约定任务。专业评估</w:t>
      </w:r>
      <w:r>
        <w:rPr>
          <w:rFonts w:hint="eastAsia" w:ascii="仿宋" w:hAnsi="仿宋" w:eastAsia="仿宋" w:cs="仿宋"/>
          <w:color w:val="000000" w:themeColor="text1"/>
          <w:kern w:val="0"/>
          <w:sz w:val="32"/>
          <w:szCs w:val="32"/>
          <w14:textFill>
            <w14:solidFill>
              <w14:schemeClr w14:val="tx1"/>
            </w14:solidFill>
          </w14:textFill>
        </w:rPr>
        <w:t>、财务评估有一项为不合格的</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或</w:t>
      </w:r>
      <w:r>
        <w:rPr>
          <w:rFonts w:hint="eastAsia" w:ascii="仿宋" w:hAnsi="仿宋" w:eastAsia="仿宋" w:cs="仿宋"/>
          <w:color w:val="000000" w:themeColor="text1"/>
          <w:kern w:val="0"/>
          <w:sz w:val="32"/>
          <w:szCs w:val="32"/>
          <w14:textFill>
            <w14:solidFill>
              <w14:schemeClr w14:val="tx1"/>
            </w14:solidFill>
          </w14:textFill>
        </w:rPr>
        <w:t>财务审计</w:t>
      </w:r>
      <w:r>
        <w:rPr>
          <w:rFonts w:hint="eastAsia" w:ascii="仿宋" w:hAnsi="仿宋" w:eastAsia="仿宋" w:cs="仿宋"/>
          <w:color w:val="000000" w:themeColor="text1"/>
          <w:kern w:val="0"/>
          <w:sz w:val="32"/>
          <w:szCs w:val="32"/>
          <w:lang w:eastAsia="zh-CN"/>
          <w14:textFill>
            <w14:solidFill>
              <w14:schemeClr w14:val="tx1"/>
            </w14:solidFill>
          </w14:textFill>
        </w:rPr>
        <w:t>出现重大</w:t>
      </w:r>
      <w:r>
        <w:rPr>
          <w:rFonts w:hint="eastAsia" w:ascii="仿宋" w:hAnsi="仿宋" w:eastAsia="仿宋" w:cs="仿宋"/>
          <w:color w:val="000000" w:themeColor="text1"/>
          <w:kern w:val="0"/>
          <w:sz w:val="32"/>
          <w:szCs w:val="32"/>
          <w:lang w:val="en-US" w:eastAsia="zh-CN"/>
          <w14:textFill>
            <w14:solidFill>
              <w14:schemeClr w14:val="tx1"/>
            </w14:solidFill>
          </w14:textFill>
        </w:rPr>
        <w:t>纰漏的，如未按照资金来源要求，出现用于项目以外的支出或以任何形式挤占、截留、挪用项目资金的情况，则评估结果即为不合格，经整改后仍然不合格，该承接主体及法人3年内不允许再承接福州市民政工作领域购买的社会工作服务项目</w:t>
      </w:r>
      <w:r>
        <w:rPr>
          <w:rFonts w:hint="eastAsia" w:ascii="仿宋" w:hAnsi="仿宋" w:eastAsia="仿宋" w:cs="仿宋"/>
          <w:color w:val="000000" w:themeColor="text1"/>
          <w:kern w:val="0"/>
          <w:sz w:val="32"/>
          <w:szCs w:val="32"/>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项目承接</w:t>
      </w:r>
      <w:r>
        <w:rPr>
          <w:rFonts w:hint="eastAsia" w:ascii="仿宋" w:hAnsi="仿宋" w:eastAsia="仿宋" w:cs="仿宋"/>
          <w:color w:val="000000" w:themeColor="text1"/>
          <w:kern w:val="0"/>
          <w:sz w:val="32"/>
          <w:szCs w:val="32"/>
          <w14:textFill>
            <w14:solidFill>
              <w14:schemeClr w14:val="tx1"/>
            </w14:solidFill>
          </w14:textFill>
        </w:rPr>
        <w:t>机构对评估结果有疑议的，可向</w:t>
      </w:r>
      <w:r>
        <w:rPr>
          <w:rFonts w:hint="eastAsia" w:ascii="仿宋" w:hAnsi="仿宋" w:eastAsia="仿宋" w:cs="仿宋"/>
          <w:color w:val="000000" w:themeColor="text1"/>
          <w:kern w:val="0"/>
          <w:sz w:val="32"/>
          <w:szCs w:val="32"/>
          <w:lang w:eastAsia="zh-CN"/>
          <w14:textFill>
            <w14:solidFill>
              <w14:schemeClr w14:val="tx1"/>
            </w14:solidFill>
          </w14:textFill>
        </w:rPr>
        <w:t>购买主体书面</w:t>
      </w:r>
      <w:r>
        <w:rPr>
          <w:rFonts w:hint="eastAsia" w:ascii="仿宋" w:hAnsi="仿宋" w:eastAsia="仿宋" w:cs="仿宋"/>
          <w:color w:val="000000" w:themeColor="text1"/>
          <w:kern w:val="0"/>
          <w:sz w:val="32"/>
          <w:szCs w:val="32"/>
          <w14:textFill>
            <w14:solidFill>
              <w14:schemeClr w14:val="tx1"/>
            </w14:solidFill>
          </w14:textFill>
        </w:rPr>
        <w:t>提出复核一次。购买主体</w:t>
      </w:r>
      <w:r>
        <w:rPr>
          <w:rFonts w:hint="eastAsia" w:ascii="仿宋" w:hAnsi="仿宋" w:eastAsia="仿宋" w:cs="仿宋"/>
          <w:color w:val="000000" w:themeColor="text1"/>
          <w:kern w:val="0"/>
          <w:sz w:val="32"/>
          <w:szCs w:val="32"/>
          <w:lang w:eastAsia="zh-CN"/>
          <w14:textFill>
            <w14:solidFill>
              <w14:schemeClr w14:val="tx1"/>
            </w14:solidFill>
          </w14:textFill>
        </w:rPr>
        <w:t>在与评估方核实情况后，可决定是否</w:t>
      </w:r>
      <w:r>
        <w:rPr>
          <w:rFonts w:hint="eastAsia" w:ascii="仿宋" w:hAnsi="仿宋" w:eastAsia="仿宋" w:cs="仿宋"/>
          <w:color w:val="000000" w:themeColor="text1"/>
          <w:kern w:val="0"/>
          <w:sz w:val="32"/>
          <w:szCs w:val="32"/>
          <w14:textFill>
            <w14:solidFill>
              <w14:schemeClr w14:val="tx1"/>
            </w14:solidFill>
          </w14:textFill>
        </w:rPr>
        <w:t>组织专门工作小组进行复核，复核结果为最终结果，</w:t>
      </w:r>
      <w:r>
        <w:rPr>
          <w:rFonts w:hint="eastAsia" w:ascii="仿宋" w:hAnsi="仿宋" w:eastAsia="仿宋" w:cs="仿宋"/>
          <w:color w:val="000000" w:themeColor="text1"/>
          <w:kern w:val="0"/>
          <w:sz w:val="32"/>
          <w:szCs w:val="32"/>
          <w:lang w:eastAsia="zh-CN"/>
          <w14:textFill>
            <w14:solidFill>
              <w14:schemeClr w14:val="tx1"/>
            </w14:solidFill>
          </w14:textFill>
        </w:rPr>
        <w:t>确需修改</w:t>
      </w:r>
      <w:r>
        <w:rPr>
          <w:rFonts w:hint="eastAsia" w:ascii="仿宋" w:hAnsi="仿宋" w:eastAsia="仿宋" w:cs="仿宋"/>
          <w:color w:val="000000" w:themeColor="text1"/>
          <w:kern w:val="0"/>
          <w:sz w:val="32"/>
          <w:szCs w:val="32"/>
          <w14:textFill>
            <w14:solidFill>
              <w14:schemeClr w14:val="tx1"/>
            </w14:solidFill>
          </w14:textFill>
        </w:rPr>
        <w:t>评估</w:t>
      </w:r>
      <w:r>
        <w:rPr>
          <w:rFonts w:hint="eastAsia" w:ascii="仿宋" w:hAnsi="仿宋" w:eastAsia="仿宋" w:cs="仿宋"/>
          <w:color w:val="000000" w:themeColor="text1"/>
          <w:kern w:val="0"/>
          <w:sz w:val="32"/>
          <w:szCs w:val="32"/>
          <w:lang w:eastAsia="zh-CN"/>
          <w14:textFill>
            <w14:solidFill>
              <w14:schemeClr w14:val="tx1"/>
            </w14:solidFill>
          </w14:textFill>
        </w:rPr>
        <w:t>结果的应让评估方</w:t>
      </w:r>
      <w:r>
        <w:rPr>
          <w:rFonts w:hint="eastAsia" w:ascii="仿宋" w:hAnsi="仿宋" w:eastAsia="仿宋" w:cs="仿宋"/>
          <w:color w:val="000000" w:themeColor="text1"/>
          <w:kern w:val="0"/>
          <w:sz w:val="32"/>
          <w:szCs w:val="32"/>
          <w14:textFill>
            <w14:solidFill>
              <w14:schemeClr w14:val="tx1"/>
            </w14:solidFill>
          </w14:textFill>
        </w:rPr>
        <w:t>以评估报告形式</w:t>
      </w:r>
      <w:r>
        <w:rPr>
          <w:rFonts w:hint="eastAsia" w:ascii="仿宋" w:hAnsi="仿宋" w:eastAsia="仿宋" w:cs="仿宋"/>
          <w:color w:val="000000" w:themeColor="text1"/>
          <w:kern w:val="0"/>
          <w:sz w:val="32"/>
          <w:szCs w:val="32"/>
          <w:lang w:eastAsia="zh-CN"/>
          <w14:textFill>
            <w14:solidFill>
              <w14:schemeClr w14:val="tx1"/>
            </w14:solidFill>
          </w14:textFill>
        </w:rPr>
        <w:t>最终呈现</w:t>
      </w:r>
      <w:r>
        <w:rPr>
          <w:rFonts w:hint="eastAsia" w:ascii="仿宋" w:hAnsi="仿宋" w:eastAsia="仿宋" w:cs="仿宋"/>
          <w:color w:val="000000" w:themeColor="text1"/>
          <w:kern w:val="0"/>
          <w:sz w:val="32"/>
          <w:szCs w:val="32"/>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购买主体应在单位门户网站上向社会公示</w:t>
      </w:r>
      <w:r>
        <w:rPr>
          <w:rFonts w:hint="eastAsia" w:ascii="仿宋" w:hAnsi="仿宋" w:eastAsia="仿宋" w:cs="仿宋"/>
          <w:color w:val="000000" w:themeColor="text1"/>
          <w:kern w:val="0"/>
          <w:sz w:val="32"/>
          <w:szCs w:val="32"/>
          <w:lang w:eastAsia="zh-CN"/>
          <w14:textFill>
            <w14:solidFill>
              <w14:schemeClr w14:val="tx1"/>
            </w14:solidFill>
          </w14:textFill>
        </w:rPr>
        <w:t>项目评估</w:t>
      </w:r>
      <w:r>
        <w:rPr>
          <w:rFonts w:hint="eastAsia" w:ascii="仿宋" w:hAnsi="仿宋" w:eastAsia="仿宋" w:cs="仿宋"/>
          <w:color w:val="000000" w:themeColor="text1"/>
          <w:kern w:val="0"/>
          <w:sz w:val="32"/>
          <w:szCs w:val="32"/>
          <w14:textFill>
            <w14:solidFill>
              <w14:schemeClr w14:val="tx1"/>
            </w14:solidFill>
          </w14:textFill>
        </w:rPr>
        <w:t>结果，作为以后年度编制</w:t>
      </w:r>
      <w:r>
        <w:rPr>
          <w:rFonts w:hint="eastAsia" w:ascii="仿宋" w:hAnsi="仿宋" w:eastAsia="仿宋" w:cs="仿宋"/>
          <w:color w:val="000000" w:themeColor="text1"/>
          <w:kern w:val="0"/>
          <w:sz w:val="32"/>
          <w:szCs w:val="32"/>
          <w:lang w:val="en-US" w:eastAsia="zh-CN"/>
          <w14:textFill>
            <w14:solidFill>
              <w14:schemeClr w14:val="tx1"/>
            </w14:solidFill>
          </w14:textFill>
        </w:rPr>
        <w:t>民政领域</w:t>
      </w:r>
      <w:r>
        <w:rPr>
          <w:rFonts w:hint="eastAsia" w:ascii="仿宋" w:hAnsi="仿宋" w:eastAsia="仿宋" w:cs="仿宋"/>
          <w:color w:val="000000" w:themeColor="text1"/>
          <w:kern w:val="0"/>
          <w:sz w:val="32"/>
          <w:szCs w:val="32"/>
          <w14:textFill>
            <w14:solidFill>
              <w14:schemeClr w14:val="tx1"/>
            </w14:solidFill>
          </w14:textFill>
        </w:rPr>
        <w:t>政府购买社会服务预算和选择承接主体的重要参考依据。</w:t>
      </w:r>
    </w:p>
    <w:p>
      <w:pPr>
        <w:pStyle w:val="18"/>
        <w:keepNext w:val="0"/>
        <w:keepLines w:val="0"/>
        <w:pageBreakBefore w:val="0"/>
        <w:widowControl/>
        <w:kinsoku/>
        <w:wordWrap/>
        <w:overflowPunct/>
        <w:topLinePunct w:val="0"/>
        <w:autoSpaceDE/>
        <w:autoSpaceDN/>
        <w:bidi w:val="0"/>
        <w:adjustRightInd w:val="0"/>
        <w:snapToGrid w:val="0"/>
        <w:spacing w:line="360" w:lineRule="auto"/>
        <w:ind w:firstLine="641"/>
        <w:jc w:val="both"/>
        <w:textAlignment w:val="auto"/>
        <w:rPr>
          <w:rFonts w:hint="eastAsia" w:ascii="仿宋" w:hAnsi="仿宋" w:eastAsia="仿宋" w:cs="仿宋"/>
          <w:color w:val="000000" w:themeColor="text1"/>
          <w:kern w:val="0"/>
          <w:sz w:val="32"/>
          <w:szCs w:val="32"/>
          <w14:textFill>
            <w14:solidFill>
              <w14:schemeClr w14:val="tx1"/>
            </w14:solidFill>
          </w14:textFill>
        </w:rPr>
      </w:pPr>
    </w:p>
    <w:p>
      <w:pPr>
        <w:pStyle w:val="18"/>
        <w:widowControl/>
        <w:adjustRightInd w:val="0"/>
        <w:snapToGrid w:val="0"/>
        <w:spacing w:line="360" w:lineRule="auto"/>
        <w:ind w:firstLine="0" w:firstLineChars="0"/>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第七章 附则</w:t>
      </w:r>
    </w:p>
    <w:p>
      <w:pPr>
        <w:pStyle w:val="18"/>
        <w:widowControl/>
        <w:adjustRightInd w:val="0"/>
        <w:snapToGrid w:val="0"/>
        <w:spacing w:line="360" w:lineRule="auto"/>
        <w:ind w:firstLine="0" w:firstLineChars="0"/>
        <w:jc w:val="center"/>
        <w:rPr>
          <w:rFonts w:ascii="仿宋" w:hAnsi="仿宋" w:eastAsia="仿宋" w:cs="仿宋"/>
          <w:color w:val="000000" w:themeColor="text1"/>
          <w:kern w:val="0"/>
          <w:sz w:val="32"/>
          <w:szCs w:val="32"/>
          <w14:textFill>
            <w14:solidFill>
              <w14:schemeClr w14:val="tx1"/>
            </w14:solidFill>
          </w14:textFill>
        </w:rPr>
      </w:pPr>
    </w:p>
    <w:p>
      <w:pPr>
        <w:pStyle w:val="18"/>
        <w:keepNext w:val="0"/>
        <w:keepLines w:val="0"/>
        <w:pageBreakBefore w:val="0"/>
        <w:widowControl/>
        <w:kinsoku/>
        <w:wordWrap/>
        <w:overflowPunct/>
        <w:topLinePunct w:val="0"/>
        <w:autoSpaceDE/>
        <w:autoSpaceDN/>
        <w:bidi w:val="0"/>
        <w:adjustRightInd w:val="0"/>
        <w:snapToGrid w:val="0"/>
        <w:spacing w:line="360" w:lineRule="auto"/>
        <w:ind w:firstLine="644"/>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w:t>
      </w:r>
      <w:r>
        <w:rPr>
          <w:rFonts w:hint="eastAsia" w:ascii="仿宋" w:hAnsi="仿宋" w:eastAsia="仿宋" w:cs="仿宋"/>
          <w:b/>
          <w:color w:val="000000" w:themeColor="text1"/>
          <w:kern w:val="0"/>
          <w:sz w:val="32"/>
          <w:szCs w:val="32"/>
          <w:lang w:val="en-US" w:eastAsia="zh-CN"/>
          <w14:textFill>
            <w14:solidFill>
              <w14:schemeClr w14:val="tx1"/>
            </w14:solidFill>
          </w14:textFill>
        </w:rPr>
        <w:t>十九</w:t>
      </w:r>
      <w:r>
        <w:rPr>
          <w:rFonts w:hint="eastAsia" w:ascii="仿宋" w:hAnsi="仿宋" w:eastAsia="仿宋" w:cs="仿宋"/>
          <w:b/>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本办法仅是福州市</w:t>
      </w:r>
      <w:r>
        <w:rPr>
          <w:rFonts w:hint="eastAsia" w:ascii="仿宋" w:hAnsi="仿宋" w:eastAsia="仿宋" w:cs="仿宋"/>
          <w:color w:val="000000" w:themeColor="text1"/>
          <w:kern w:val="0"/>
          <w:sz w:val="32"/>
          <w:szCs w:val="32"/>
          <w:lang w:val="en-US" w:eastAsia="zh-CN"/>
          <w14:textFill>
            <w14:solidFill>
              <w14:schemeClr w14:val="tx1"/>
            </w14:solidFill>
          </w14:textFill>
        </w:rPr>
        <w:t>民政工作领域</w:t>
      </w:r>
      <w:r>
        <w:rPr>
          <w:rFonts w:hint="eastAsia" w:ascii="仿宋" w:hAnsi="仿宋" w:eastAsia="仿宋" w:cs="仿宋"/>
          <w:color w:val="000000" w:themeColor="text1"/>
          <w:kern w:val="0"/>
          <w:sz w:val="32"/>
          <w:szCs w:val="32"/>
          <w14:textFill>
            <w14:solidFill>
              <w14:schemeClr w14:val="tx1"/>
            </w14:solidFill>
          </w14:textFill>
        </w:rPr>
        <w:t>购买社会工作服务项目评估的通用考核评估实施细则。在本办法的基础上，还</w:t>
      </w:r>
      <w:r>
        <w:rPr>
          <w:rFonts w:hint="eastAsia" w:ascii="仿宋" w:hAnsi="仿宋" w:eastAsia="仿宋" w:cs="仿宋"/>
          <w:color w:val="000000" w:themeColor="text1"/>
          <w:kern w:val="0"/>
          <w:sz w:val="32"/>
          <w:szCs w:val="32"/>
          <w:lang w:eastAsia="zh-CN"/>
          <w14:textFill>
            <w14:solidFill>
              <w14:schemeClr w14:val="tx1"/>
            </w14:solidFill>
          </w14:textFill>
        </w:rPr>
        <w:t>可</w:t>
      </w:r>
      <w:r>
        <w:rPr>
          <w:rFonts w:hint="eastAsia" w:ascii="仿宋" w:hAnsi="仿宋" w:eastAsia="仿宋" w:cs="仿宋"/>
          <w:color w:val="000000" w:themeColor="text1"/>
          <w:kern w:val="0"/>
          <w:sz w:val="32"/>
          <w:szCs w:val="32"/>
          <w14:textFill>
            <w14:solidFill>
              <w14:schemeClr w14:val="tx1"/>
            </w14:solidFill>
          </w14:textFill>
        </w:rPr>
        <w:t>针对不同领域、不同服务对象群体的服务，制订更具针对性的考核评估标准体系。</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第二十条</w:t>
      </w:r>
      <w:r>
        <w:rPr>
          <w:rFonts w:hint="eastAsia" w:ascii="仿宋" w:hAnsi="仿宋" w:eastAsia="仿宋" w:cs="仿宋"/>
          <w:color w:val="000000" w:themeColor="text1"/>
          <w:kern w:val="0"/>
          <w:sz w:val="32"/>
          <w:szCs w:val="32"/>
          <w14:textFill>
            <w14:solidFill>
              <w14:schemeClr w14:val="tx1"/>
            </w14:solidFill>
          </w14:textFill>
        </w:rPr>
        <w:t xml:space="preserve"> 本办法自发布之日起实施。</w:t>
      </w:r>
    </w:p>
    <w:p>
      <w:pPr>
        <w:keepNext w:val="0"/>
        <w:keepLines w:val="0"/>
        <w:pageBreakBefore w:val="0"/>
        <w:widowControl/>
        <w:kinsoku/>
        <w:wordWrap/>
        <w:overflowPunct/>
        <w:topLinePunct w:val="0"/>
        <w:autoSpaceDE/>
        <w:autoSpaceDN/>
        <w:bidi w:val="0"/>
        <w:spacing w:line="360" w:lineRule="auto"/>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widowControl/>
        <w:jc w:val="left"/>
        <w:rPr>
          <w:rFonts w:hint="default" w:ascii="仿宋" w:hAnsi="仿宋" w:eastAsia="仿宋" w:cs="仿宋"/>
          <w:b/>
          <w:color w:val="000000" w:themeColor="text1"/>
          <w:kern w:val="0"/>
          <w:sz w:val="32"/>
          <w:szCs w:val="32"/>
          <w:highlight w:val="yellow"/>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p>
    <w:p>
      <w:pPr>
        <w:pStyle w:val="18"/>
        <w:widowControl/>
        <w:ind w:firstLine="0" w:firstLineChars="0"/>
        <w:jc w:val="center"/>
        <w:rPr>
          <w:rFonts w:ascii="黑体" w:hAnsi="黑体" w:eastAsia="黑体" w:cs="华文仿宋"/>
          <w:color w:val="000000" w:themeColor="text1"/>
          <w:kern w:val="0"/>
          <w:sz w:val="44"/>
          <w:szCs w:val="44"/>
          <w14:textFill>
            <w14:solidFill>
              <w14:schemeClr w14:val="tx1"/>
            </w14:solidFill>
          </w14:textFill>
        </w:rPr>
      </w:pPr>
    </w:p>
    <w:p>
      <w:pPr>
        <w:pStyle w:val="18"/>
        <w:widowControl/>
        <w:ind w:firstLine="0" w:firstLineChars="0"/>
        <w:jc w:val="center"/>
        <w:rPr>
          <w:rFonts w:hint="eastAsia" w:ascii="黑体" w:hAnsi="黑体" w:eastAsia="黑体" w:cs="华文仿宋"/>
          <w:color w:val="000000" w:themeColor="text1"/>
          <w:kern w:val="0"/>
          <w:sz w:val="44"/>
          <w:szCs w:val="44"/>
          <w14:textFill>
            <w14:solidFill>
              <w14:schemeClr w14:val="tx1"/>
            </w14:solidFill>
          </w14:textFill>
        </w:rPr>
      </w:pPr>
      <w:r>
        <w:rPr>
          <w:rFonts w:hint="eastAsia" w:ascii="黑体" w:hAnsi="黑体" w:eastAsia="黑体" w:cs="华文仿宋"/>
          <w:color w:val="000000" w:themeColor="text1"/>
          <w:kern w:val="0"/>
          <w:sz w:val="44"/>
          <w:szCs w:val="44"/>
          <w14:textFill>
            <w14:solidFill>
              <w14:schemeClr w14:val="tx1"/>
            </w14:solidFill>
          </w14:textFill>
        </w:rPr>
        <w:t>福州市</w:t>
      </w:r>
      <w:r>
        <w:rPr>
          <w:rFonts w:hint="eastAsia" w:ascii="黑体" w:hAnsi="黑体" w:eastAsia="黑体" w:cs="华文仿宋"/>
          <w:color w:val="000000" w:themeColor="text1"/>
          <w:kern w:val="0"/>
          <w:sz w:val="44"/>
          <w:szCs w:val="44"/>
          <w:lang w:val="en-US" w:eastAsia="zh-CN"/>
          <w14:textFill>
            <w14:solidFill>
              <w14:schemeClr w14:val="tx1"/>
            </w14:solidFill>
          </w14:textFill>
        </w:rPr>
        <w:t>民政领域</w:t>
      </w:r>
      <w:r>
        <w:rPr>
          <w:rFonts w:hint="eastAsia" w:ascii="黑体" w:hAnsi="黑体" w:eastAsia="黑体" w:cs="华文仿宋"/>
          <w:color w:val="000000" w:themeColor="text1"/>
          <w:kern w:val="0"/>
          <w:sz w:val="44"/>
          <w:szCs w:val="44"/>
          <w14:textFill>
            <w14:solidFill>
              <w14:schemeClr w14:val="tx1"/>
            </w14:solidFill>
          </w14:textFill>
        </w:rPr>
        <w:t>政府购买社会工作服务项目</w:t>
      </w:r>
    </w:p>
    <w:p>
      <w:pPr>
        <w:pStyle w:val="18"/>
        <w:widowControl/>
        <w:ind w:firstLine="0" w:firstLineChars="0"/>
        <w:jc w:val="center"/>
        <w:rPr>
          <w:rFonts w:ascii="黑体" w:hAnsi="黑体" w:eastAsia="黑体" w:cs="华文仿宋"/>
          <w:color w:val="000000" w:themeColor="text1"/>
          <w:kern w:val="0"/>
          <w:sz w:val="44"/>
          <w:szCs w:val="44"/>
          <w14:textFill>
            <w14:solidFill>
              <w14:schemeClr w14:val="tx1"/>
            </w14:solidFill>
          </w14:textFill>
        </w:rPr>
      </w:pPr>
      <w:r>
        <w:rPr>
          <w:rFonts w:hint="eastAsia" w:ascii="黑体" w:hAnsi="黑体" w:eastAsia="黑体" w:cs="华文仿宋"/>
          <w:color w:val="000000" w:themeColor="text1"/>
          <w:kern w:val="0"/>
          <w:sz w:val="44"/>
          <w:szCs w:val="44"/>
          <w14:textFill>
            <w14:solidFill>
              <w14:schemeClr w14:val="tx1"/>
            </w14:solidFill>
          </w14:textFill>
        </w:rPr>
        <w:t>评估表</w:t>
      </w:r>
    </w:p>
    <w:p>
      <w:pPr>
        <w:ind w:firstLine="640" w:firstLineChars="200"/>
        <w:rPr>
          <w:rFonts w:ascii="仿宋" w:hAnsi="仿宋" w:eastAsia="仿宋" w:cs="仿宋"/>
          <w:color w:val="000000" w:themeColor="text1"/>
          <w:kern w:val="0"/>
          <w:sz w:val="32"/>
          <w:szCs w:val="32"/>
          <w14:textFill>
            <w14:solidFill>
              <w14:schemeClr w14:val="tx1"/>
            </w14:solidFill>
          </w14:textFill>
        </w:rPr>
      </w:pPr>
    </w:p>
    <w:p>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评估内容分为整体评价、专业服务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运营与管理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服务成效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财务管理五个板块</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按照</w:t>
      </w:r>
      <w:r>
        <w:rPr>
          <w:rFonts w:hint="eastAsia" w:ascii="仿宋" w:hAnsi="仿宋" w:eastAsia="仿宋" w:cs="仿宋"/>
          <w:color w:val="000000" w:themeColor="text1"/>
          <w:kern w:val="0"/>
          <w:sz w:val="32"/>
          <w:szCs w:val="32"/>
          <w14:textFill>
            <w14:solidFill>
              <w14:schemeClr w14:val="tx1"/>
            </w14:solidFill>
          </w14:textFill>
        </w:rPr>
        <w:t>整体评价、专业服务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运营与管理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服务成效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财务管理</w:t>
      </w:r>
      <w:r>
        <w:rPr>
          <w:rFonts w:hint="eastAsia" w:ascii="仿宋" w:hAnsi="仿宋" w:eastAsia="仿宋" w:cs="仿宋"/>
          <w:color w:val="000000" w:themeColor="text1"/>
          <w:kern w:val="0"/>
          <w:sz w:val="32"/>
          <w:szCs w:val="32"/>
          <w:lang w:val="en-US" w:eastAsia="zh-CN"/>
          <w14:textFill>
            <w14:solidFill>
              <w14:schemeClr w14:val="tx1"/>
            </w14:solidFill>
          </w14:textFill>
        </w:rPr>
        <w:t>这</w:t>
      </w:r>
      <w:r>
        <w:rPr>
          <w:rFonts w:hint="eastAsia" w:ascii="仿宋" w:hAnsi="仿宋" w:eastAsia="仿宋" w:cs="仿宋"/>
          <w:color w:val="000000" w:themeColor="text1"/>
          <w:kern w:val="0"/>
          <w:sz w:val="32"/>
          <w:szCs w:val="32"/>
          <w14:textFill>
            <w14:solidFill>
              <w14:schemeClr w14:val="tx1"/>
            </w14:solidFill>
          </w14:textFill>
        </w:rPr>
        <w:t>五个板块</w:t>
      </w:r>
      <w:r>
        <w:rPr>
          <w:rFonts w:hint="eastAsia" w:ascii="仿宋" w:hAnsi="仿宋" w:eastAsia="仿宋" w:cs="仿宋"/>
          <w:color w:val="000000" w:themeColor="text1"/>
          <w:kern w:val="0"/>
          <w:sz w:val="32"/>
          <w:szCs w:val="32"/>
          <w:lang w:val="en-US" w:eastAsia="zh-CN"/>
          <w14:textFill>
            <w14:solidFill>
              <w14:schemeClr w14:val="tx1"/>
            </w14:solidFill>
          </w14:textFill>
        </w:rPr>
        <w:t>分别</w:t>
      </w:r>
      <w:r>
        <w:rPr>
          <w:rFonts w:hint="eastAsia" w:ascii="仿宋" w:hAnsi="仿宋" w:eastAsia="仿宋" w:cs="仿宋"/>
          <w:color w:val="000000" w:themeColor="text1"/>
          <w:kern w:val="0"/>
          <w:sz w:val="32"/>
          <w:szCs w:val="32"/>
          <w14:textFill>
            <w14:solidFill>
              <w14:schemeClr w14:val="tx1"/>
            </w14:solidFill>
          </w14:textFill>
        </w:rPr>
        <w:t>进行评分，每个板块满分</w:t>
      </w:r>
      <w:r>
        <w:rPr>
          <w:rFonts w:hint="eastAsia" w:ascii="仿宋" w:hAnsi="仿宋" w:eastAsia="仿宋" w:cs="仿宋"/>
          <w:color w:val="000000" w:themeColor="text1"/>
          <w:kern w:val="0"/>
          <w:sz w:val="32"/>
          <w:szCs w:val="32"/>
          <w:lang w:val="en-US" w:eastAsia="zh-CN"/>
          <w14:textFill>
            <w14:solidFill>
              <w14:schemeClr w14:val="tx1"/>
            </w14:solidFill>
          </w14:textFill>
        </w:rPr>
        <w:t>为</w:t>
      </w:r>
      <w:r>
        <w:rPr>
          <w:rFonts w:hint="eastAsia" w:ascii="仿宋" w:hAnsi="仿宋" w:eastAsia="仿宋" w:cs="仿宋"/>
          <w:color w:val="000000" w:themeColor="text1"/>
          <w:kern w:val="0"/>
          <w:sz w:val="32"/>
          <w:szCs w:val="32"/>
          <w14:textFill>
            <w14:solidFill>
              <w14:schemeClr w14:val="tx1"/>
            </w14:solidFill>
          </w14:textFill>
        </w:rPr>
        <w:t>100分，总得分按各板块所占百分比进行加权。</w:t>
      </w:r>
    </w:p>
    <w:tbl>
      <w:tblPr>
        <w:tblStyle w:val="12"/>
        <w:tblpPr w:leftFromText="180" w:rightFromText="180" w:vertAnchor="text" w:horzAnchor="page" w:tblpX="1961" w:tblpY="592"/>
        <w:tblOverlap w:val="never"/>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04"/>
        <w:gridCol w:w="1427"/>
        <w:gridCol w:w="1688"/>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33" w:type="dxa"/>
          </w:tcPr>
          <w:p>
            <w:pPr>
              <w:jc w:val="center"/>
              <w:rPr>
                <w:rFonts w:ascii="仿宋" w:hAnsi="仿宋" w:eastAsia="仿宋" w:cs="仿宋"/>
                <w:color w:val="000000" w:themeColor="text1"/>
                <w:kern w:val="0"/>
                <w:sz w:val="28"/>
                <w:szCs w:val="32"/>
                <w14:textFill>
                  <w14:solidFill>
                    <w14:schemeClr w14:val="tx1"/>
                  </w14:solidFill>
                </w14:textFill>
              </w:rPr>
            </w:pPr>
          </w:p>
        </w:tc>
        <w:tc>
          <w:tcPr>
            <w:tcW w:w="1404" w:type="dxa"/>
          </w:tcPr>
          <w:p>
            <w:pPr>
              <w:jc w:val="center"/>
              <w:rPr>
                <w:rFonts w:ascii="仿宋" w:hAnsi="仿宋" w:eastAsia="仿宋" w:cs="仿宋"/>
                <w:b/>
                <w:bCs/>
                <w:color w:val="000000" w:themeColor="text1"/>
                <w:kern w:val="0"/>
                <w:sz w:val="28"/>
                <w:szCs w:val="32"/>
                <w14:textFill>
                  <w14:solidFill>
                    <w14:schemeClr w14:val="tx1"/>
                  </w14:solidFill>
                </w14:textFill>
              </w:rPr>
            </w:pPr>
            <w:r>
              <w:rPr>
                <w:rFonts w:hint="eastAsia" w:ascii="仿宋" w:hAnsi="仿宋" w:eastAsia="仿宋" w:cs="仿宋"/>
                <w:b/>
                <w:bCs/>
                <w:color w:val="000000" w:themeColor="text1"/>
                <w:kern w:val="0"/>
                <w:sz w:val="28"/>
                <w:szCs w:val="32"/>
                <w14:textFill>
                  <w14:solidFill>
                    <w14:schemeClr w14:val="tx1"/>
                  </w14:solidFill>
                </w14:textFill>
              </w:rPr>
              <w:t>整体评价</w:t>
            </w:r>
          </w:p>
        </w:tc>
        <w:tc>
          <w:tcPr>
            <w:tcW w:w="1427" w:type="dxa"/>
          </w:tcPr>
          <w:p>
            <w:pPr>
              <w:jc w:val="center"/>
              <w:rPr>
                <w:rFonts w:ascii="仿宋" w:hAnsi="仿宋" w:eastAsia="仿宋" w:cs="仿宋"/>
                <w:b/>
                <w:bCs/>
                <w:color w:val="000000" w:themeColor="text1"/>
                <w:kern w:val="0"/>
                <w:sz w:val="28"/>
                <w:szCs w:val="32"/>
                <w14:textFill>
                  <w14:solidFill>
                    <w14:schemeClr w14:val="tx1"/>
                  </w14:solidFill>
                </w14:textFill>
              </w:rPr>
            </w:pPr>
            <w:r>
              <w:rPr>
                <w:rFonts w:hint="eastAsia" w:ascii="仿宋" w:hAnsi="仿宋" w:eastAsia="仿宋" w:cs="仿宋"/>
                <w:b/>
                <w:bCs/>
                <w:color w:val="000000" w:themeColor="text1"/>
                <w:kern w:val="0"/>
                <w:sz w:val="28"/>
                <w:szCs w:val="32"/>
                <w14:textFill>
                  <w14:solidFill>
                    <w14:schemeClr w14:val="tx1"/>
                  </w14:solidFill>
                </w14:textFill>
              </w:rPr>
              <w:t>专业服务</w:t>
            </w:r>
          </w:p>
        </w:tc>
        <w:tc>
          <w:tcPr>
            <w:tcW w:w="1688" w:type="dxa"/>
          </w:tcPr>
          <w:p>
            <w:pPr>
              <w:jc w:val="center"/>
              <w:rPr>
                <w:rFonts w:ascii="仿宋" w:hAnsi="仿宋" w:eastAsia="仿宋" w:cs="仿宋"/>
                <w:b/>
                <w:bCs/>
                <w:color w:val="000000" w:themeColor="text1"/>
                <w:kern w:val="0"/>
                <w:sz w:val="28"/>
                <w:szCs w:val="32"/>
                <w14:textFill>
                  <w14:solidFill>
                    <w14:schemeClr w14:val="tx1"/>
                  </w14:solidFill>
                </w14:textFill>
              </w:rPr>
            </w:pPr>
            <w:r>
              <w:rPr>
                <w:rFonts w:hint="eastAsia" w:ascii="仿宋" w:hAnsi="仿宋" w:eastAsia="仿宋" w:cs="仿宋"/>
                <w:b/>
                <w:bCs/>
                <w:color w:val="000000" w:themeColor="text1"/>
                <w:kern w:val="0"/>
                <w:sz w:val="28"/>
                <w:szCs w:val="32"/>
                <w14:textFill>
                  <w14:solidFill>
                    <w14:schemeClr w14:val="tx1"/>
                  </w14:solidFill>
                </w14:textFill>
              </w:rPr>
              <w:t>运营与管理</w:t>
            </w:r>
          </w:p>
        </w:tc>
        <w:tc>
          <w:tcPr>
            <w:tcW w:w="1427" w:type="dxa"/>
          </w:tcPr>
          <w:p>
            <w:pPr>
              <w:jc w:val="center"/>
              <w:rPr>
                <w:rFonts w:ascii="仿宋" w:hAnsi="仿宋" w:eastAsia="仿宋" w:cs="仿宋"/>
                <w:b/>
                <w:bCs/>
                <w:color w:val="000000" w:themeColor="text1"/>
                <w:kern w:val="0"/>
                <w:sz w:val="28"/>
                <w:szCs w:val="32"/>
                <w14:textFill>
                  <w14:solidFill>
                    <w14:schemeClr w14:val="tx1"/>
                  </w14:solidFill>
                </w14:textFill>
              </w:rPr>
            </w:pPr>
            <w:r>
              <w:rPr>
                <w:rFonts w:hint="eastAsia" w:ascii="仿宋" w:hAnsi="仿宋" w:eastAsia="仿宋" w:cs="仿宋"/>
                <w:b/>
                <w:bCs/>
                <w:color w:val="000000" w:themeColor="text1"/>
                <w:kern w:val="0"/>
                <w:sz w:val="28"/>
                <w:szCs w:val="32"/>
                <w14:textFill>
                  <w14:solidFill>
                    <w14:schemeClr w14:val="tx1"/>
                  </w14:solidFill>
                </w14:textFill>
              </w:rPr>
              <w:t>服务成效</w:t>
            </w:r>
          </w:p>
        </w:tc>
        <w:tc>
          <w:tcPr>
            <w:tcW w:w="1427" w:type="dxa"/>
          </w:tcPr>
          <w:p>
            <w:pPr>
              <w:jc w:val="center"/>
              <w:rPr>
                <w:rFonts w:ascii="仿宋" w:hAnsi="仿宋" w:eastAsia="仿宋" w:cs="仿宋"/>
                <w:b/>
                <w:bCs/>
                <w:color w:val="000000" w:themeColor="text1"/>
                <w:kern w:val="0"/>
                <w:sz w:val="28"/>
                <w:szCs w:val="32"/>
                <w14:textFill>
                  <w14:solidFill>
                    <w14:schemeClr w14:val="tx1"/>
                  </w14:solidFill>
                </w14:textFill>
              </w:rPr>
            </w:pPr>
            <w:r>
              <w:rPr>
                <w:rFonts w:hint="eastAsia" w:ascii="仿宋" w:hAnsi="仿宋" w:eastAsia="仿宋" w:cs="仿宋"/>
                <w:b/>
                <w:bCs/>
                <w:color w:val="000000" w:themeColor="text1"/>
                <w:kern w:val="0"/>
                <w:sz w:val="28"/>
                <w:szCs w:val="32"/>
                <w14:textFill>
                  <w14:solidFill>
                    <w14:schemeClr w14:val="tx1"/>
                  </w14:solidFill>
                </w14:textFill>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33"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中 期</w:t>
            </w:r>
          </w:p>
        </w:tc>
        <w:tc>
          <w:tcPr>
            <w:tcW w:w="1404"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20%</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30%</w:t>
            </w:r>
          </w:p>
        </w:tc>
        <w:tc>
          <w:tcPr>
            <w:tcW w:w="1688"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20%</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15%</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33"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末 期</w:t>
            </w:r>
          </w:p>
        </w:tc>
        <w:tc>
          <w:tcPr>
            <w:tcW w:w="1404"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10%</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40%</w:t>
            </w:r>
          </w:p>
        </w:tc>
        <w:tc>
          <w:tcPr>
            <w:tcW w:w="1688"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15%</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20%</w:t>
            </w:r>
          </w:p>
        </w:tc>
        <w:tc>
          <w:tcPr>
            <w:tcW w:w="1427" w:type="dxa"/>
          </w:tcPr>
          <w:p>
            <w:pPr>
              <w:jc w:val="center"/>
              <w:rPr>
                <w:rFonts w:ascii="仿宋" w:hAnsi="仿宋" w:eastAsia="仿宋" w:cs="仿宋"/>
                <w:color w:val="000000" w:themeColor="text1"/>
                <w:kern w:val="0"/>
                <w:sz w:val="28"/>
                <w:szCs w:val="32"/>
                <w14:textFill>
                  <w14:solidFill>
                    <w14:schemeClr w14:val="tx1"/>
                  </w14:solidFill>
                </w14:textFill>
              </w:rPr>
            </w:pPr>
            <w:r>
              <w:rPr>
                <w:rFonts w:hint="eastAsia" w:ascii="仿宋" w:hAnsi="仿宋" w:eastAsia="仿宋" w:cs="仿宋"/>
                <w:color w:val="000000" w:themeColor="text1"/>
                <w:kern w:val="0"/>
                <w:sz w:val="28"/>
                <w:szCs w:val="32"/>
                <w14:textFill>
                  <w14:solidFill>
                    <w14:schemeClr w14:val="tx1"/>
                  </w14:solidFill>
                </w14:textFill>
              </w:rPr>
              <w:t>15%</w:t>
            </w:r>
          </w:p>
        </w:tc>
      </w:tr>
    </w:tbl>
    <w:p>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中、末期评估，各版块加权分值如下：</w:t>
      </w:r>
    </w:p>
    <w:p>
      <w:pPr>
        <w:widowControl/>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若项目由会计师事务所进行财务审计，财务管理独立评分，专业服务、运营与管理和服务管理在原有的加权分值基础上各增加5%。</w:t>
      </w:r>
    </w:p>
    <w:p>
      <w:pPr>
        <w:widowControl/>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各板块评分细则：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（一）整体评价</w:t>
      </w:r>
    </w:p>
    <w:tbl>
      <w:tblPr>
        <w:tblStyle w:val="11"/>
        <w:tblW w:w="8897" w:type="dxa"/>
        <w:tblInd w:w="0" w:type="dxa"/>
        <w:tblLayout w:type="fixed"/>
        <w:tblCellMar>
          <w:top w:w="0" w:type="dxa"/>
          <w:left w:w="108" w:type="dxa"/>
          <w:bottom w:w="0" w:type="dxa"/>
          <w:right w:w="108" w:type="dxa"/>
        </w:tblCellMar>
      </w:tblPr>
      <w:tblGrid>
        <w:gridCol w:w="1490"/>
        <w:gridCol w:w="6415"/>
        <w:gridCol w:w="992"/>
      </w:tblGrid>
      <w:tr>
        <w:tblPrEx>
          <w:tblCellMar>
            <w:top w:w="0" w:type="dxa"/>
            <w:left w:w="108" w:type="dxa"/>
            <w:bottom w:w="0" w:type="dxa"/>
            <w:right w:w="108" w:type="dxa"/>
          </w:tblCellMar>
        </w:tblPrEx>
        <w:trPr>
          <w:trHeight w:val="538" w:hRule="atLeast"/>
        </w:trPr>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评估指标</w:t>
            </w:r>
          </w:p>
        </w:tc>
        <w:tc>
          <w:tcPr>
            <w:tcW w:w="641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themeColor="text1"/>
                <w:kern w:val="0"/>
                <w:sz w:val="24"/>
                <w:szCs w:val="28"/>
                <w14:textFill>
                  <w14:solidFill>
                    <w14:schemeClr w14:val="tx1"/>
                  </w14:solidFill>
                </w14:textFill>
              </w:rPr>
            </w:pPr>
            <w:r>
              <w:rPr>
                <w:rFonts w:hint="eastAsia" w:ascii="仿宋" w:hAnsi="仿宋" w:eastAsia="仿宋" w:cs="仿宋"/>
                <w:b/>
                <w:color w:val="000000" w:themeColor="text1"/>
                <w:kern w:val="0"/>
                <w:sz w:val="24"/>
                <w:szCs w:val="28"/>
                <w14:textFill>
                  <w14:solidFill>
                    <w14:schemeClr w14:val="tx1"/>
                  </w14:solidFill>
                </w14:textFill>
              </w:rPr>
              <w:t>评分说明</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szCs w:val="28"/>
                <w:lang w:eastAsia="zh-CN"/>
                <w14:textFill>
                  <w14:solidFill>
                    <w14:schemeClr w14:val="tx1"/>
                  </w14:solidFill>
                </w14:textFill>
              </w:rPr>
            </w:pPr>
            <w:r>
              <w:rPr>
                <w:rFonts w:hint="eastAsia" w:ascii="仿宋" w:hAnsi="仿宋" w:eastAsia="仿宋" w:cs="仿宋"/>
                <w:b/>
                <w:bCs/>
                <w:color w:val="000000" w:themeColor="text1"/>
                <w:kern w:val="0"/>
                <w:sz w:val="24"/>
                <w:szCs w:val="28"/>
                <w:lang w:eastAsia="zh-CN"/>
                <w14:textFill>
                  <w14:solidFill>
                    <w14:schemeClr w14:val="tx1"/>
                  </w14:solidFill>
                </w14:textFill>
              </w:rPr>
              <w:t>分值</w:t>
            </w:r>
          </w:p>
        </w:tc>
      </w:tr>
      <w:tr>
        <w:tblPrEx>
          <w:tblCellMar>
            <w:top w:w="0" w:type="dxa"/>
            <w:left w:w="108" w:type="dxa"/>
            <w:bottom w:w="0" w:type="dxa"/>
            <w:right w:w="108" w:type="dxa"/>
          </w:tblCellMar>
        </w:tblPrEx>
        <w:trPr>
          <w:trHeight w:val="1016" w:hRule="atLeast"/>
        </w:trPr>
        <w:tc>
          <w:tcPr>
            <w:tcW w:w="149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需求分析</w:t>
            </w: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科学合理的服务对象需求调研方案，调研采取多维度、多层面进行；</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10</w:t>
            </w:r>
          </w:p>
        </w:tc>
      </w:tr>
      <w:tr>
        <w:tblPrEx>
          <w:tblCellMar>
            <w:top w:w="0" w:type="dxa"/>
            <w:left w:w="108" w:type="dxa"/>
            <w:bottom w:w="0" w:type="dxa"/>
            <w:right w:w="108" w:type="dxa"/>
          </w:tblCellMar>
        </w:tblPrEx>
        <w:trPr>
          <w:trHeight w:val="695" w:hRule="atLeast"/>
        </w:trPr>
        <w:tc>
          <w:tcPr>
            <w:tcW w:w="1490"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b/>
                <w:bCs/>
                <w:color w:val="000000" w:themeColor="text1"/>
                <w:kern w:val="0"/>
                <w:sz w:val="24"/>
                <w:szCs w:val="28"/>
                <w14:textFill>
                  <w14:solidFill>
                    <w14:schemeClr w14:val="tx1"/>
                  </w14:solidFill>
                </w14:textFill>
              </w:rPr>
            </w:pP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服务对象的需求评估分析效度；</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10</w:t>
            </w:r>
          </w:p>
        </w:tc>
      </w:tr>
      <w:tr>
        <w:tblPrEx>
          <w:tblCellMar>
            <w:top w:w="0" w:type="dxa"/>
            <w:left w:w="108" w:type="dxa"/>
            <w:bottom w:w="0" w:type="dxa"/>
            <w:right w:w="108" w:type="dxa"/>
          </w:tblCellMar>
        </w:tblPrEx>
        <w:trPr>
          <w:trHeight w:val="1016" w:hRule="atLeast"/>
        </w:trPr>
        <w:tc>
          <w:tcPr>
            <w:tcW w:w="149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目标管理</w:t>
            </w: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服务群体定位清晰、服务目标明确、具体、可行，所用服务方法与满足服务对象需求之间有合理的内在联系；</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8</w:t>
            </w:r>
          </w:p>
        </w:tc>
      </w:tr>
      <w:tr>
        <w:tblPrEx>
          <w:tblCellMar>
            <w:top w:w="0" w:type="dxa"/>
            <w:left w:w="108" w:type="dxa"/>
            <w:bottom w:w="0" w:type="dxa"/>
            <w:right w:w="108" w:type="dxa"/>
          </w:tblCellMar>
        </w:tblPrEx>
        <w:trPr>
          <w:trHeight w:val="842" w:hRule="atLeast"/>
        </w:trPr>
        <w:tc>
          <w:tcPr>
            <w:tcW w:w="1490"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b/>
                <w:bCs/>
                <w:color w:val="000000" w:themeColor="text1"/>
                <w:kern w:val="0"/>
                <w:sz w:val="24"/>
                <w:szCs w:val="28"/>
                <w14:textFill>
                  <w14:solidFill>
                    <w14:schemeClr w14:val="tx1"/>
                  </w14:solidFill>
                </w14:textFill>
              </w:rPr>
            </w:pP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项目服务有整体性，逻辑合理，切合服务地域的整体需求，项目服务具有可持续性；</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10</w:t>
            </w:r>
          </w:p>
        </w:tc>
      </w:tr>
      <w:tr>
        <w:tblPrEx>
          <w:tblCellMar>
            <w:top w:w="0" w:type="dxa"/>
            <w:left w:w="108" w:type="dxa"/>
            <w:bottom w:w="0" w:type="dxa"/>
            <w:right w:w="108" w:type="dxa"/>
          </w:tblCellMar>
        </w:tblPrEx>
        <w:trPr>
          <w:trHeight w:val="684" w:hRule="atLeast"/>
        </w:trPr>
        <w:tc>
          <w:tcPr>
            <w:tcW w:w="149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方案设计</w:t>
            </w: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服务计划分层分类设计，注重基本服务对象与重点服务对象的区分度；</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8</w:t>
            </w:r>
          </w:p>
        </w:tc>
      </w:tr>
      <w:tr>
        <w:tblPrEx>
          <w:tblCellMar>
            <w:top w:w="0" w:type="dxa"/>
            <w:left w:w="108" w:type="dxa"/>
            <w:bottom w:w="0" w:type="dxa"/>
            <w:right w:w="108" w:type="dxa"/>
          </w:tblCellMar>
        </w:tblPrEx>
        <w:trPr>
          <w:trHeight w:val="694" w:hRule="atLeast"/>
        </w:trPr>
        <w:tc>
          <w:tcPr>
            <w:tcW w:w="149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服务设计能够回应服务对象需求；</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8</w:t>
            </w:r>
          </w:p>
        </w:tc>
      </w:tr>
      <w:tr>
        <w:tblPrEx>
          <w:tblCellMar>
            <w:top w:w="0" w:type="dxa"/>
            <w:left w:w="108" w:type="dxa"/>
            <w:bottom w:w="0" w:type="dxa"/>
            <w:right w:w="108" w:type="dxa"/>
          </w:tblCellMar>
        </w:tblPrEx>
        <w:trPr>
          <w:trHeight w:val="774" w:hRule="atLeast"/>
        </w:trPr>
        <w:tc>
          <w:tcPr>
            <w:tcW w:w="149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专业支持</w:t>
            </w: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督导规范（</w:t>
            </w:r>
            <w:r>
              <w:rPr>
                <w:rFonts w:hint="eastAsia" w:ascii="仿宋" w:hAnsi="仿宋" w:eastAsia="仿宋" w:cs="仿宋"/>
                <w:color w:val="000000" w:themeColor="text1"/>
                <w:kern w:val="0"/>
                <w:sz w:val="24"/>
                <w:szCs w:val="28"/>
                <w:lang w:val="en-US" w:eastAsia="zh-CN"/>
                <w14:textFill>
                  <w14:solidFill>
                    <w14:schemeClr w14:val="tx1"/>
                  </w14:solidFill>
                </w14:textFill>
              </w:rPr>
              <w:t>包括但不限于有</w:t>
            </w:r>
            <w:r>
              <w:rPr>
                <w:rFonts w:hint="eastAsia" w:ascii="仿宋" w:hAnsi="仿宋" w:eastAsia="仿宋" w:cs="仿宋"/>
                <w:color w:val="000000" w:themeColor="text1"/>
                <w:kern w:val="0"/>
                <w:sz w:val="24"/>
                <w:szCs w:val="28"/>
                <w14:textFill>
                  <w14:solidFill>
                    <w14:schemeClr w14:val="tx1"/>
                  </w14:solidFill>
                </w14:textFill>
              </w:rPr>
              <w:t>督导工作协议、工作内容符合规范、督导到岗工作记录完整，能够体现专业指导）；</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10</w:t>
            </w:r>
          </w:p>
        </w:tc>
      </w:tr>
      <w:tr>
        <w:tblPrEx>
          <w:tblCellMar>
            <w:top w:w="0" w:type="dxa"/>
            <w:left w:w="108" w:type="dxa"/>
            <w:bottom w:w="0" w:type="dxa"/>
            <w:right w:w="108" w:type="dxa"/>
          </w:tblCellMar>
        </w:tblPrEx>
        <w:trPr>
          <w:trHeight w:val="741" w:hRule="atLeast"/>
        </w:trPr>
        <w:tc>
          <w:tcPr>
            <w:tcW w:w="1490" w:type="dxa"/>
            <w:vMerge w:val="continue"/>
            <w:tcBorders>
              <w:left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督导成效（督导对服务文书批阅符合规范，社工的督导记录体现专业指引）；</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12</w:t>
            </w:r>
          </w:p>
        </w:tc>
      </w:tr>
      <w:tr>
        <w:tblPrEx>
          <w:tblCellMar>
            <w:top w:w="0" w:type="dxa"/>
            <w:left w:w="108" w:type="dxa"/>
            <w:bottom w:w="0" w:type="dxa"/>
            <w:right w:w="108" w:type="dxa"/>
          </w:tblCellMar>
        </w:tblPrEx>
        <w:trPr>
          <w:trHeight w:val="538" w:hRule="atLeast"/>
        </w:trPr>
        <w:tc>
          <w:tcPr>
            <w:tcW w:w="149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督导成效评价（对督导的行政性、教育性、支持性</w:t>
            </w:r>
            <w:r>
              <w:rPr>
                <w:rFonts w:hint="eastAsia" w:ascii="仿宋" w:hAnsi="仿宋" w:eastAsia="仿宋" w:cs="仿宋"/>
                <w:color w:val="000000" w:themeColor="text1"/>
                <w:kern w:val="0"/>
                <w:sz w:val="24"/>
                <w:szCs w:val="28"/>
                <w:lang w:val="en-US" w:eastAsia="zh-CN"/>
                <w14:textFill>
                  <w14:solidFill>
                    <w14:schemeClr w14:val="tx1"/>
                  </w14:solidFill>
                </w14:textFill>
              </w:rPr>
              <w:t>等方面</w:t>
            </w:r>
            <w:r>
              <w:rPr>
                <w:rFonts w:hint="eastAsia" w:ascii="仿宋" w:hAnsi="仿宋" w:eastAsia="仿宋" w:cs="仿宋"/>
                <w:color w:val="000000" w:themeColor="text1"/>
                <w:kern w:val="0"/>
                <w:sz w:val="24"/>
                <w:szCs w:val="28"/>
                <w14:textFill>
                  <w14:solidFill>
                    <w14:schemeClr w14:val="tx1"/>
                  </w14:solidFill>
                </w14:textFill>
              </w:rPr>
              <w:t>的评价）；</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8</w:t>
            </w:r>
          </w:p>
        </w:tc>
      </w:tr>
      <w:tr>
        <w:tblPrEx>
          <w:tblCellMar>
            <w:top w:w="0" w:type="dxa"/>
            <w:left w:w="108" w:type="dxa"/>
            <w:bottom w:w="0" w:type="dxa"/>
            <w:right w:w="108" w:type="dxa"/>
          </w:tblCellMar>
        </w:tblPrEx>
        <w:trPr>
          <w:trHeight w:val="782" w:hRule="atLeast"/>
        </w:trPr>
        <w:tc>
          <w:tcPr>
            <w:tcW w:w="1490"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themeColor="text1"/>
                <w:kern w:val="0"/>
                <w:sz w:val="24"/>
                <w:szCs w:val="28"/>
                <w14:textFill>
                  <w14:solidFill>
                    <w14:schemeClr w14:val="tx1"/>
                  </w14:solidFill>
                </w14:textFill>
              </w:rPr>
            </w:pPr>
            <w:r>
              <w:rPr>
                <w:rFonts w:hint="eastAsia" w:ascii="仿宋" w:hAnsi="仿宋" w:eastAsia="仿宋" w:cs="仿宋"/>
                <w:b/>
                <w:bCs/>
                <w:color w:val="000000" w:themeColor="text1"/>
                <w:kern w:val="0"/>
                <w:sz w:val="24"/>
                <w:szCs w:val="28"/>
                <w14:textFill>
                  <w14:solidFill>
                    <w14:schemeClr w14:val="tx1"/>
                  </w14:solidFill>
                </w14:textFill>
              </w:rPr>
              <w:t>项目实施一致性</w:t>
            </w:r>
          </w:p>
        </w:tc>
        <w:tc>
          <w:tcPr>
            <w:tcW w:w="64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bCs/>
                <w:color w:val="000000" w:themeColor="text1"/>
                <w:kern w:val="0"/>
                <w:sz w:val="24"/>
                <w:szCs w:val="28"/>
                <w14:textFill>
                  <w14:solidFill>
                    <w14:schemeClr w14:val="tx1"/>
                  </w14:solidFill>
                </w14:textFill>
              </w:rPr>
            </w:pPr>
            <w:r>
              <w:rPr>
                <w:rFonts w:hint="eastAsia" w:ascii="仿宋" w:hAnsi="仿宋" w:eastAsia="仿宋" w:cs="仿宋"/>
                <w:bCs/>
                <w:color w:val="000000" w:themeColor="text1"/>
                <w:kern w:val="0"/>
                <w:sz w:val="24"/>
                <w:szCs w:val="28"/>
                <w14:textFill>
                  <w14:solidFill>
                    <w14:schemeClr w14:val="tx1"/>
                  </w14:solidFill>
                </w14:textFill>
              </w:rPr>
              <w:t>项目实际具体实施按照项目申报书的服务框架、服务群体、服务进度进行实施。</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16</w:t>
            </w:r>
          </w:p>
        </w:tc>
      </w:tr>
      <w:tr>
        <w:tblPrEx>
          <w:tblCellMar>
            <w:top w:w="0" w:type="dxa"/>
            <w:left w:w="108" w:type="dxa"/>
            <w:bottom w:w="0" w:type="dxa"/>
            <w:right w:w="108" w:type="dxa"/>
          </w:tblCellMar>
        </w:tblPrEx>
        <w:trPr>
          <w:trHeight w:val="538" w:hRule="atLeast"/>
        </w:trPr>
        <w:tc>
          <w:tcPr>
            <w:tcW w:w="7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合    计</w:t>
            </w: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（二）专业服务（满分 100分）</w:t>
      </w:r>
    </w:p>
    <w:tbl>
      <w:tblPr>
        <w:tblStyle w:val="11"/>
        <w:tblW w:w="87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39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spacing w:line="276" w:lineRule="auto"/>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评估指标</w:t>
            </w:r>
          </w:p>
        </w:tc>
        <w:tc>
          <w:tcPr>
            <w:tcW w:w="6392"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评分说明</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01" w:type="dxa"/>
            <w:vMerge w:val="restart"/>
            <w:vAlign w:val="center"/>
          </w:tcPr>
          <w:p>
            <w:pPr>
              <w:widowControl/>
              <w:spacing w:line="276" w:lineRule="auto"/>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服务对象建档情况</w:t>
            </w:r>
          </w:p>
        </w:tc>
        <w:tc>
          <w:tcPr>
            <w:tcW w:w="6392" w:type="dxa"/>
            <w:vAlign w:val="center"/>
          </w:tcPr>
          <w:p>
            <w:pPr>
              <w:widowControl/>
              <w:spacing w:line="27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按合同约定完成服务对象电访、探访；</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spacing w:line="276" w:lineRule="auto"/>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spacing w:line="27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建立关于服务对象基本信息及基本需求等方面的档案，完成合同约定的建档数量；</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restart"/>
            <w:vAlign w:val="center"/>
          </w:tcPr>
          <w:p>
            <w:pPr>
              <w:spacing w:line="276" w:lineRule="auto"/>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个案</w:t>
            </w:r>
          </w:p>
        </w:tc>
        <w:tc>
          <w:tcPr>
            <w:tcW w:w="6392" w:type="dxa"/>
            <w:vAlign w:val="center"/>
          </w:tcPr>
          <w:p>
            <w:pPr>
              <w:widowControl/>
              <w:spacing w:line="276" w:lineRule="auto"/>
              <w:rPr>
                <w:rFonts w:ascii="仿宋" w:hAnsi="仿宋" w:eastAsia="仿宋" w:cs="仿宋"/>
                <w:color w:val="000000" w:themeColor="text1"/>
                <w:kern w:val="0"/>
                <w:sz w:val="24"/>
                <w:highlight w:val="red"/>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结合服务对象个人或家庭的需求开案，注意个案目标确定、专业方法运用、服务成效；</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spacing w:line="276" w:lineRule="auto"/>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spacing w:line="276" w:lineRule="auto"/>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咨询性个案记录包括但不限于：服务对象基本信息、咨询的主要问题、社会工作者的回应措施；辅导性个案工作记录包括但不限于接案</w:t>
            </w:r>
            <w:r>
              <w:rPr>
                <w:rFonts w:hint="eastAsia" w:ascii="仿宋" w:hAnsi="仿宋" w:eastAsia="仿宋" w:cs="仿宋"/>
                <w:color w:val="000000" w:themeColor="text1"/>
                <w:kern w:val="0"/>
                <w:sz w:val="24"/>
                <w:lang w:val="en-US" w:eastAsia="zh-CN"/>
                <w14:textFill>
                  <w14:solidFill>
                    <w14:schemeClr w14:val="tx1"/>
                  </w14:solidFill>
                </w14:textFill>
              </w:rPr>
              <w:t>记录表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资料收集表、</w:t>
            </w:r>
            <w:r>
              <w:rPr>
                <w:rFonts w:hint="eastAsia" w:ascii="仿宋" w:hAnsi="仿宋" w:eastAsia="仿宋" w:cs="仿宋"/>
                <w:color w:val="000000" w:themeColor="text1"/>
                <w:kern w:val="0"/>
                <w:sz w:val="24"/>
                <w14:textFill>
                  <w14:solidFill>
                    <w14:schemeClr w14:val="tx1"/>
                  </w14:solidFill>
                </w14:textFill>
              </w:rPr>
              <w:t>预估</w:t>
            </w:r>
            <w:r>
              <w:rPr>
                <w:rFonts w:hint="eastAsia" w:ascii="仿宋" w:hAnsi="仿宋" w:eastAsia="仿宋" w:cs="仿宋"/>
                <w:color w:val="000000" w:themeColor="text1"/>
                <w:kern w:val="0"/>
                <w:sz w:val="24"/>
                <w:lang w:val="en-US" w:eastAsia="zh-CN"/>
                <w14:textFill>
                  <w14:solidFill>
                    <w14:schemeClr w14:val="tx1"/>
                  </w14:solidFill>
                </w14:textFill>
              </w:rPr>
              <w:t>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服务</w:t>
            </w:r>
            <w:r>
              <w:rPr>
                <w:rFonts w:hint="eastAsia" w:ascii="仿宋" w:hAnsi="仿宋" w:eastAsia="仿宋" w:cs="仿宋"/>
                <w:color w:val="000000" w:themeColor="text1"/>
                <w:kern w:val="0"/>
                <w:sz w:val="24"/>
                <w14:textFill>
                  <w14:solidFill>
                    <w14:schemeClr w14:val="tx1"/>
                  </w14:solidFill>
                </w14:textFill>
              </w:rPr>
              <w:t>协议、服务</w:t>
            </w:r>
            <w:r>
              <w:rPr>
                <w:rFonts w:hint="eastAsia" w:ascii="仿宋" w:hAnsi="仿宋" w:eastAsia="仿宋" w:cs="仿宋"/>
                <w:color w:val="000000" w:themeColor="text1"/>
                <w:kern w:val="0"/>
                <w:sz w:val="24"/>
                <w:lang w:val="en-US" w:eastAsia="zh-CN"/>
                <w14:textFill>
                  <w14:solidFill>
                    <w14:schemeClr w14:val="tx1"/>
                  </w14:solidFill>
                </w14:textFill>
              </w:rPr>
              <w:t>计划书</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过程</w:t>
            </w:r>
            <w:r>
              <w:rPr>
                <w:rFonts w:hint="eastAsia" w:ascii="仿宋" w:hAnsi="仿宋" w:eastAsia="仿宋" w:cs="仿宋"/>
                <w:color w:val="000000" w:themeColor="text1"/>
                <w:kern w:val="0"/>
                <w:sz w:val="24"/>
                <w14:textFill>
                  <w14:solidFill>
                    <w14:schemeClr w14:val="tx1"/>
                  </w14:solidFill>
                </w14:textFill>
              </w:rPr>
              <w:t>记录</w:t>
            </w:r>
            <w:r>
              <w:rPr>
                <w:rFonts w:hint="eastAsia" w:ascii="仿宋" w:hAnsi="仿宋" w:eastAsia="仿宋" w:cs="仿宋"/>
                <w:color w:val="000000" w:themeColor="text1"/>
                <w:kern w:val="0"/>
                <w:sz w:val="24"/>
                <w:lang w:val="en-US" w:eastAsia="zh-CN"/>
                <w14:textFill>
                  <w14:solidFill>
                    <w14:schemeClr w14:val="tx1"/>
                  </w14:solidFill>
                </w14:textFill>
              </w:rPr>
              <w:t>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评估表、</w:t>
            </w:r>
            <w:r>
              <w:rPr>
                <w:rFonts w:hint="eastAsia" w:ascii="仿宋" w:hAnsi="仿宋" w:eastAsia="仿宋" w:cs="仿宋"/>
                <w:color w:val="000000" w:themeColor="text1"/>
                <w:kern w:val="0"/>
                <w:sz w:val="24"/>
                <w14:textFill>
                  <w14:solidFill>
                    <w14:schemeClr w14:val="tx1"/>
                  </w14:solidFill>
                </w14:textFill>
              </w:rPr>
              <w:t>结案等资料，服务记录中应体现社会工作的专业元素；</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spacing w:line="276" w:lineRule="auto"/>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spacing w:line="276" w:lineRule="auto"/>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按合同约定完成辅导性、咨询性个案服务指标；</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restart"/>
            <w:vAlign w:val="center"/>
          </w:tcPr>
          <w:p>
            <w:pPr>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小组工作</w:t>
            </w:r>
          </w:p>
        </w:tc>
        <w:tc>
          <w:tcPr>
            <w:tcW w:w="6392" w:type="dxa"/>
            <w:vAlign w:val="center"/>
          </w:tcPr>
          <w:p>
            <w:pPr>
              <w:widowControl/>
              <w:spacing w:line="27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针对相同或相似问题和需求的群体开展小组支持，注意小组目标确定、专业方法的运用、服务成效；</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spacing w:line="276" w:lineRule="auto"/>
              <w:jc w:val="center"/>
              <w:rPr>
                <w:rFonts w:ascii="仿宋" w:hAnsi="仿宋" w:eastAsia="仿宋" w:cs="仿宋"/>
                <w:b/>
                <w:color w:val="000000" w:themeColor="text1"/>
                <w:kern w:val="0"/>
                <w:sz w:val="24"/>
                <w14:textFill>
                  <w14:solidFill>
                    <w14:schemeClr w14:val="tx1"/>
                  </w14:solidFill>
                </w14:textFill>
              </w:rPr>
            </w:pPr>
          </w:p>
        </w:tc>
        <w:tc>
          <w:tcPr>
            <w:tcW w:w="6392" w:type="dxa"/>
            <w:vAlign w:val="center"/>
          </w:tcPr>
          <w:p>
            <w:pPr>
              <w:widowControl/>
              <w:spacing w:line="276" w:lineRule="auto"/>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小组工作记录包括但不限于小组计划书、招募宣传、活动签到表、小组过程记录和小组反思总结报告等资料，服务记录中应体现社会工作的专业元素；</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p>
        </w:tc>
        <w:tc>
          <w:tcPr>
            <w:tcW w:w="6392" w:type="dxa"/>
            <w:vAlign w:val="center"/>
          </w:tcPr>
          <w:p>
            <w:pPr>
              <w:widowControl/>
              <w:spacing w:line="276" w:lineRule="auto"/>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按合同约定完成小组工作服务指标；</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restart"/>
            <w:vAlign w:val="center"/>
          </w:tcPr>
          <w:p>
            <w:pPr>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社区</w:t>
            </w:r>
            <w:r>
              <w:rPr>
                <w:rFonts w:hint="eastAsia" w:ascii="仿宋" w:hAnsi="仿宋" w:eastAsia="仿宋" w:cs="仿宋"/>
                <w:b/>
                <w:color w:val="000000" w:themeColor="text1"/>
                <w:kern w:val="0"/>
                <w:sz w:val="24"/>
                <w:lang w:val="en-US" w:eastAsia="zh-CN"/>
                <w14:textFill>
                  <w14:solidFill>
                    <w14:schemeClr w14:val="tx1"/>
                  </w14:solidFill>
                </w14:textFill>
              </w:rPr>
              <w:t>工作</w:t>
            </w:r>
          </w:p>
        </w:tc>
        <w:tc>
          <w:tcPr>
            <w:tcW w:w="6392" w:type="dxa"/>
            <w:vAlign w:val="center"/>
          </w:tcPr>
          <w:p>
            <w:pPr>
              <w:widowControl/>
              <w:spacing w:line="27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将社区宣传、教育、倡导活动形成系列化、项目化，并产生社区影响，注意社区氛围</w:t>
            </w:r>
            <w:r>
              <w:rPr>
                <w:rFonts w:hint="eastAsia" w:ascii="仿宋" w:hAnsi="仿宋" w:eastAsia="仿宋" w:cs="仿宋"/>
                <w:color w:val="000000" w:themeColor="text1"/>
                <w:kern w:val="0"/>
                <w:sz w:val="24"/>
                <w:lang w:val="en-US" w:eastAsia="zh-CN"/>
                <w14:textFill>
                  <w14:solidFill>
                    <w14:schemeClr w14:val="tx1"/>
                  </w14:solidFill>
                </w14:textFill>
              </w:rPr>
              <w:t>营造</w:t>
            </w:r>
            <w:r>
              <w:rPr>
                <w:rFonts w:hint="eastAsia" w:ascii="仿宋" w:hAnsi="仿宋" w:eastAsia="仿宋" w:cs="仿宋"/>
                <w:color w:val="000000" w:themeColor="text1"/>
                <w:kern w:val="0"/>
                <w:sz w:val="24"/>
                <w14:textFill>
                  <w14:solidFill>
                    <w14:schemeClr w14:val="tx1"/>
                  </w14:solidFill>
                </w14:textFill>
              </w:rPr>
              <w:t>、社区关系改善、社区互助网络搭建等；</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01" w:type="dxa"/>
            <w:vMerge w:val="continue"/>
            <w:vAlign w:val="center"/>
          </w:tcPr>
          <w:p>
            <w:pPr>
              <w:spacing w:line="276" w:lineRule="auto"/>
              <w:jc w:val="center"/>
              <w:rPr>
                <w:rFonts w:ascii="仿宋" w:hAnsi="仿宋" w:eastAsia="仿宋" w:cs="仿宋"/>
                <w:color w:val="000000" w:themeColor="text1"/>
                <w:kern w:val="0"/>
                <w:sz w:val="24"/>
                <w14:textFill>
                  <w14:solidFill>
                    <w14:schemeClr w14:val="tx1"/>
                  </w14:solidFill>
                </w14:textFill>
              </w:rPr>
            </w:pPr>
          </w:p>
        </w:tc>
        <w:tc>
          <w:tcPr>
            <w:tcW w:w="6392" w:type="dxa"/>
            <w:vAlign w:val="center"/>
          </w:tcPr>
          <w:p>
            <w:pPr>
              <w:widowControl/>
              <w:spacing w:line="27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社区</w:t>
            </w:r>
            <w:r>
              <w:rPr>
                <w:rFonts w:hint="eastAsia" w:ascii="仿宋" w:hAnsi="仿宋" w:eastAsia="仿宋" w:cs="仿宋"/>
                <w:color w:val="000000" w:themeColor="text1"/>
                <w:kern w:val="0"/>
                <w:sz w:val="24"/>
                <w:lang w:val="en-US" w:eastAsia="zh-CN"/>
                <w14:textFill>
                  <w14:solidFill>
                    <w14:schemeClr w14:val="tx1"/>
                  </w14:solidFill>
                </w14:textFill>
              </w:rPr>
              <w:t>工作</w:t>
            </w:r>
            <w:r>
              <w:rPr>
                <w:rFonts w:hint="eastAsia" w:ascii="仿宋" w:hAnsi="仿宋" w:eastAsia="仿宋" w:cs="仿宋"/>
                <w:color w:val="000000" w:themeColor="text1"/>
                <w:kern w:val="0"/>
                <w:sz w:val="24"/>
                <w14:textFill>
                  <w14:solidFill>
                    <w14:schemeClr w14:val="tx1"/>
                  </w14:solidFill>
                </w14:textFill>
              </w:rPr>
              <w:t>记录包括但不限于计划书、招募宣传、活动</w:t>
            </w:r>
            <w:r>
              <w:rPr>
                <w:rFonts w:hint="eastAsia" w:ascii="仿宋" w:hAnsi="仿宋" w:eastAsia="仿宋" w:cs="仿宋"/>
                <w:color w:val="000000" w:themeColor="text1"/>
                <w:kern w:val="0"/>
                <w:sz w:val="24"/>
                <w:lang w:val="en-US" w:eastAsia="zh-CN"/>
                <w14:textFill>
                  <w14:solidFill>
                    <w14:schemeClr w14:val="tx1"/>
                  </w14:solidFill>
                </w14:textFill>
              </w:rPr>
              <w:t>开展、活动记录</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签到表、</w:t>
            </w:r>
            <w:r>
              <w:rPr>
                <w:rFonts w:hint="eastAsia" w:ascii="仿宋" w:hAnsi="仿宋" w:eastAsia="仿宋" w:cs="仿宋"/>
                <w:color w:val="000000" w:themeColor="text1"/>
                <w:kern w:val="0"/>
                <w:sz w:val="24"/>
                <w14:textFill>
                  <w14:solidFill>
                    <w14:schemeClr w14:val="tx1"/>
                  </w14:solidFill>
                </w14:textFill>
              </w:rPr>
              <w:t>活动总结等资料，服务记录中应体现社会工作的专业元素；</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spacing w:line="276" w:lineRule="auto"/>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spacing w:line="276" w:lineRule="auto"/>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按合同约定完成社区</w:t>
            </w:r>
            <w:r>
              <w:rPr>
                <w:rFonts w:hint="eastAsia" w:ascii="仿宋" w:hAnsi="仿宋" w:eastAsia="仿宋" w:cs="仿宋"/>
                <w:color w:val="000000" w:themeColor="text1"/>
                <w:kern w:val="0"/>
                <w:sz w:val="24"/>
                <w:lang w:val="en-US" w:eastAsia="zh-CN"/>
                <w14:textFill>
                  <w14:solidFill>
                    <w14:schemeClr w14:val="tx1"/>
                  </w14:solidFill>
                </w14:textFill>
              </w:rPr>
              <w:t>工作</w:t>
            </w:r>
            <w:r>
              <w:rPr>
                <w:rFonts w:hint="eastAsia" w:ascii="仿宋" w:hAnsi="仿宋" w:eastAsia="仿宋" w:cs="仿宋"/>
                <w:color w:val="000000" w:themeColor="text1"/>
                <w:kern w:val="0"/>
                <w:sz w:val="24"/>
                <w14:textFill>
                  <w14:solidFill>
                    <w14:schemeClr w14:val="tx1"/>
                  </w14:solidFill>
                </w14:textFill>
              </w:rPr>
              <w:t>指标。</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93" w:type="dxa"/>
            <w:gridSpan w:val="2"/>
            <w:vAlign w:val="center"/>
          </w:tcPr>
          <w:p>
            <w:pPr>
              <w:widowControl/>
              <w:spacing w:line="276" w:lineRule="auto"/>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合    计</w:t>
            </w:r>
          </w:p>
        </w:tc>
        <w:tc>
          <w:tcPr>
            <w:tcW w:w="826" w:type="dxa"/>
            <w:vAlign w:val="center"/>
          </w:tcPr>
          <w:p>
            <w:pPr>
              <w:widowControl/>
              <w:spacing w:line="27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（三）运营与管理（满分 100分）</w:t>
      </w:r>
    </w:p>
    <w:tbl>
      <w:tblPr>
        <w:tblStyle w:val="11"/>
        <w:tblW w:w="87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39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评估指标</w:t>
            </w:r>
          </w:p>
        </w:tc>
        <w:tc>
          <w:tcPr>
            <w:tcW w:w="6392"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评分说明</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szCs w:val="28"/>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restart"/>
            <w:vAlign w:val="center"/>
          </w:tcPr>
          <w:p>
            <w:pPr>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人力资源</w:t>
            </w:r>
          </w:p>
        </w:tc>
        <w:tc>
          <w:tcPr>
            <w:tcW w:w="6392" w:type="dxa"/>
            <w:vAlign w:val="center"/>
          </w:tcPr>
          <w:p>
            <w:pPr>
              <w:widowControl/>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建立人力资源制度，并有效执行；</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w:t>
            </w:r>
            <w:r>
              <w:rPr>
                <w:rFonts w:hint="eastAsia" w:ascii="仿宋" w:hAnsi="仿宋" w:eastAsia="仿宋" w:cs="仿宋"/>
                <w:color w:val="000000" w:themeColor="text1"/>
                <w:kern w:val="0"/>
                <w:sz w:val="24"/>
                <w:lang w:val="en-US" w:eastAsia="zh-CN"/>
                <w14:textFill>
                  <w14:solidFill>
                    <w14:schemeClr w14:val="tx1"/>
                  </w14:solidFill>
                </w14:textFill>
              </w:rPr>
              <w:t>数量</w:t>
            </w:r>
            <w:r>
              <w:rPr>
                <w:rFonts w:hint="eastAsia" w:ascii="仿宋" w:hAnsi="仿宋" w:eastAsia="仿宋" w:cs="仿宋"/>
                <w:color w:val="000000" w:themeColor="text1"/>
                <w:kern w:val="0"/>
                <w:sz w:val="24"/>
                <w14:textFill>
                  <w14:solidFill>
                    <w14:schemeClr w14:val="tx1"/>
                  </w14:solidFill>
                </w14:textFill>
              </w:rPr>
              <w:t>配备项目人员；</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按合同约定配备</w:t>
            </w:r>
            <w:r>
              <w:rPr>
                <w:rFonts w:hint="eastAsia" w:ascii="仿宋" w:hAnsi="仿宋" w:eastAsia="仿宋" w:cs="仿宋"/>
                <w:color w:val="000000" w:themeColor="text1"/>
                <w:kern w:val="0"/>
                <w:sz w:val="24"/>
                <w:lang w:val="en-US" w:eastAsia="zh-CN"/>
                <w14:textFill>
                  <w14:solidFill>
                    <w14:schemeClr w14:val="tx1"/>
                  </w14:solidFill>
                </w14:textFill>
              </w:rPr>
              <w:t>的项目人员具有专业社工的</w:t>
            </w:r>
            <w:r>
              <w:rPr>
                <w:rFonts w:hint="eastAsia" w:ascii="仿宋" w:hAnsi="仿宋" w:eastAsia="仿宋" w:cs="仿宋"/>
                <w:color w:val="000000" w:themeColor="text1"/>
                <w:kern w:val="0"/>
                <w:sz w:val="24"/>
                <w14:textFill>
                  <w14:solidFill>
                    <w14:schemeClr w14:val="tx1"/>
                  </w14:solidFill>
                </w14:textFill>
              </w:rPr>
              <w:t>资质；</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项目执行团队具有明确的架构图、管理层次清晰，职责明确，分工合理；</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项目成员持续在岗情况；</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做好志愿者服务管理，并作好相关记录 (包括志愿者档案建立、服务登记、志愿服务总结、志愿者培训等)；</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物资管理</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建立项目物资管理制度，并有效执行；</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进度管理</w:t>
            </w:r>
          </w:p>
        </w:tc>
        <w:tc>
          <w:tcPr>
            <w:tcW w:w="6392" w:type="dxa"/>
            <w:vAlign w:val="center"/>
          </w:tcPr>
          <w:p>
            <w:pPr>
              <w:pStyle w:val="18"/>
              <w:widowControl/>
              <w:ind w:firstLine="0" w:firstLineChars="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根据服务方案制定总体工作计划和阶段性工作安排；制定服务进度管理制度，并合理安排工作进度；制定项目年度计划、实施办法和执行措施对项目进行</w:t>
            </w:r>
            <w:r>
              <w:rPr>
                <w:rFonts w:hint="eastAsia" w:ascii="仿宋" w:hAnsi="仿宋" w:eastAsia="仿宋" w:cs="仿宋"/>
                <w:color w:val="000000" w:themeColor="text1"/>
                <w:kern w:val="0"/>
                <w:sz w:val="24"/>
                <w:lang w:val="en-US" w:eastAsia="zh-CN"/>
                <w14:textFill>
                  <w14:solidFill>
                    <w14:schemeClr w14:val="tx1"/>
                  </w14:solidFill>
                </w14:textFill>
              </w:rPr>
              <w:t>全</w:t>
            </w:r>
            <w:r>
              <w:rPr>
                <w:rFonts w:hint="eastAsia" w:ascii="仿宋" w:hAnsi="仿宋" w:eastAsia="仿宋" w:cs="仿宋"/>
                <w:color w:val="000000" w:themeColor="text1"/>
                <w:kern w:val="0"/>
                <w:sz w:val="24"/>
                <w14:textFill>
                  <w14:solidFill>
                    <w14:schemeClr w14:val="tx1"/>
                  </w14:solidFill>
                </w14:textFill>
              </w:rPr>
              <w:t>程监测；</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成本管理</w:t>
            </w:r>
          </w:p>
        </w:tc>
        <w:tc>
          <w:tcPr>
            <w:tcW w:w="6392" w:type="dxa"/>
            <w:vAlign w:val="center"/>
          </w:tcPr>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对项目资金进行合理规划，监控项目经费支出；</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档案管理</w:t>
            </w:r>
          </w:p>
        </w:tc>
        <w:tc>
          <w:tcPr>
            <w:tcW w:w="6392"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项目服务档案全面、原始、真实。档案管理的安全性与保密性高，且存放完整有序、合理归档、易查找；</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沟通机制</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项目内部、外部形成明确的沟通机制，确保沟通到位，并保</w:t>
            </w:r>
            <w:r>
              <w:rPr>
                <w:rFonts w:hint="eastAsia" w:ascii="仿宋" w:hAnsi="仿宋" w:eastAsia="仿宋" w:cs="仿宋"/>
                <w:color w:val="000000" w:themeColor="text1"/>
                <w:kern w:val="0"/>
                <w:sz w:val="24"/>
                <w:lang w:val="en-US" w:eastAsia="zh-CN"/>
                <w14:textFill>
                  <w14:solidFill>
                    <w14:schemeClr w14:val="tx1"/>
                  </w14:solidFill>
                </w14:textFill>
              </w:rPr>
              <w:t>留</w:t>
            </w:r>
            <w:r>
              <w:rPr>
                <w:rFonts w:hint="eastAsia" w:ascii="仿宋" w:hAnsi="仿宋" w:eastAsia="仿宋" w:cs="仿宋"/>
                <w:color w:val="000000" w:themeColor="text1"/>
                <w:kern w:val="0"/>
                <w:sz w:val="24"/>
                <w14:textFill>
                  <w14:solidFill>
                    <w14:schemeClr w14:val="tx1"/>
                  </w14:solidFill>
                </w14:textFill>
              </w:rPr>
              <w:t>有相关沟通记录；</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服务反馈与处理</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建立意见反馈与投诉处理</w:t>
            </w:r>
            <w:r>
              <w:rPr>
                <w:rFonts w:hint="eastAsia" w:ascii="仿宋" w:hAnsi="仿宋" w:eastAsia="仿宋" w:cs="仿宋"/>
                <w:color w:val="000000" w:themeColor="text1"/>
                <w:kern w:val="0"/>
                <w:sz w:val="24"/>
                <w:lang w:val="en-US" w:eastAsia="zh-CN"/>
                <w14:textFill>
                  <w14:solidFill>
                    <w14:schemeClr w14:val="tx1"/>
                  </w14:solidFill>
                </w14:textFill>
              </w:rPr>
              <w:t>渠道</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建立</w:t>
            </w:r>
            <w:r>
              <w:rPr>
                <w:rFonts w:hint="eastAsia" w:ascii="仿宋" w:hAnsi="仿宋" w:eastAsia="仿宋" w:cs="仿宋"/>
                <w:color w:val="000000" w:themeColor="text1"/>
                <w:kern w:val="0"/>
                <w:sz w:val="24"/>
                <w14:textFill>
                  <w14:solidFill>
                    <w14:schemeClr w14:val="tx1"/>
                  </w14:solidFill>
                </w14:textFill>
              </w:rPr>
              <w:t>持续改进机制；</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风险管理与应急预案</w:t>
            </w:r>
          </w:p>
        </w:tc>
        <w:tc>
          <w:tcPr>
            <w:tcW w:w="6392"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针对项目实施过程中存在的风险预估，形成风险应对及管理机制。</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93" w:type="dxa"/>
            <w:gridSpan w:val="2"/>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合    计</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（四）财务管理（满分 100分）</w:t>
      </w:r>
    </w:p>
    <w:tbl>
      <w:tblPr>
        <w:tblStyle w:val="11"/>
        <w:tblW w:w="87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39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评估指标</w:t>
            </w:r>
          </w:p>
        </w:tc>
        <w:tc>
          <w:tcPr>
            <w:tcW w:w="6392"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评分说明</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szCs w:val="28"/>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财务管理制度</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建立健全符合《民间非营利组织会计制度》要求的</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包括年度预决算、专项经费收支、财务审核等方面在内</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的财务管理制度。建立固定资产购买、登记、使用及管理制度，明确运营主体变更或项目结束后固定资产的归属及去向；</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财务人员</w:t>
            </w:r>
          </w:p>
        </w:tc>
        <w:tc>
          <w:tcPr>
            <w:tcW w:w="6392" w:type="dxa"/>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按规定配备具有专业资质的财务人员，制定岗位职责，周期内接受财务培训；</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项目财务</w:t>
            </w:r>
          </w:p>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报告</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承接主体</w:t>
            </w:r>
            <w:r>
              <w:rPr>
                <w:rFonts w:hint="eastAsia" w:ascii="仿宋" w:hAnsi="仿宋" w:eastAsia="仿宋" w:cs="仿宋"/>
                <w:color w:val="000000" w:themeColor="text1"/>
                <w:kern w:val="0"/>
                <w:sz w:val="24"/>
                <w14:textFill>
                  <w14:solidFill>
                    <w14:schemeClr w14:val="tx1"/>
                  </w14:solidFill>
                </w14:textFill>
              </w:rPr>
              <w:t>按时出具项目财务报告；</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经费预决算</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根据实际及预决算程序进行财务预算和决算，及时对经费使用合理性</w:t>
            </w:r>
            <w:r>
              <w:rPr>
                <w:rFonts w:hint="eastAsia" w:ascii="仿宋" w:hAnsi="仿宋" w:eastAsia="仿宋" w:cs="仿宋"/>
                <w:color w:val="000000" w:themeColor="text1"/>
                <w:kern w:val="0"/>
                <w:sz w:val="24"/>
                <w:lang w:val="en-US" w:eastAsia="zh-CN"/>
                <w14:textFill>
                  <w14:solidFill>
                    <w14:schemeClr w14:val="tx1"/>
                  </w14:solidFill>
                </w14:textFill>
              </w:rPr>
              <w:t>做好</w:t>
            </w:r>
            <w:r>
              <w:rPr>
                <w:rFonts w:hint="eastAsia" w:ascii="仿宋" w:hAnsi="仿宋" w:eastAsia="仿宋" w:cs="仿宋"/>
                <w:color w:val="000000" w:themeColor="text1"/>
                <w:kern w:val="0"/>
                <w:sz w:val="24"/>
                <w14:textFill>
                  <w14:solidFill>
                    <w14:schemeClr w14:val="tx1"/>
                  </w14:solidFill>
                </w14:textFill>
              </w:rPr>
              <w:t>分析和监控，保证财务健康运作；</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财务</w:t>
            </w:r>
            <w:r>
              <w:rPr>
                <w:rFonts w:hint="eastAsia" w:ascii="仿宋" w:hAnsi="仿宋" w:eastAsia="仿宋" w:cs="仿宋"/>
                <w:b/>
                <w:bCs/>
                <w:color w:val="000000" w:themeColor="text1"/>
                <w:kern w:val="0"/>
                <w:sz w:val="24"/>
                <w:lang w:val="en-US" w:eastAsia="zh-CN"/>
                <w14:textFill>
                  <w14:solidFill>
                    <w14:schemeClr w14:val="tx1"/>
                  </w14:solidFill>
                </w14:textFill>
              </w:rPr>
              <w:t>档案</w:t>
            </w:r>
            <w:r>
              <w:rPr>
                <w:rFonts w:hint="eastAsia" w:ascii="仿宋" w:hAnsi="仿宋" w:eastAsia="仿宋" w:cs="仿宋"/>
                <w:b/>
                <w:bCs/>
                <w:color w:val="000000" w:themeColor="text1"/>
                <w:kern w:val="0"/>
                <w:sz w:val="24"/>
                <w14:textFill>
                  <w14:solidFill>
                    <w14:schemeClr w14:val="tx1"/>
                  </w14:solidFill>
                </w14:textFill>
              </w:rPr>
              <w:t>管理</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w:t>
            </w:r>
            <w:r>
              <w:rPr>
                <w:rFonts w:hint="eastAsia" w:ascii="仿宋" w:hAnsi="仿宋" w:eastAsia="仿宋" w:cs="仿宋"/>
                <w:color w:val="000000" w:themeColor="text1"/>
                <w:kern w:val="0"/>
                <w:sz w:val="24"/>
                <w:lang w:val="en-US" w:eastAsia="zh-CN"/>
                <w14:textFill>
                  <w14:solidFill>
                    <w14:schemeClr w14:val="tx1"/>
                  </w14:solidFill>
                </w14:textFill>
              </w:rPr>
              <w:t>原始票据</w:t>
            </w:r>
            <w:r>
              <w:rPr>
                <w:rFonts w:hint="eastAsia" w:ascii="仿宋" w:hAnsi="仿宋" w:eastAsia="仿宋" w:cs="仿宋"/>
                <w:color w:val="000000" w:themeColor="text1"/>
                <w:kern w:val="0"/>
                <w:sz w:val="24"/>
                <w14:textFill>
                  <w14:solidFill>
                    <w14:schemeClr w14:val="tx1"/>
                  </w14:solidFill>
                </w14:textFill>
              </w:rPr>
              <w:t>齐全，发票真实有效，各类经费开支及时入账且经费</w:t>
            </w:r>
            <w:r>
              <w:rPr>
                <w:rFonts w:hint="eastAsia" w:ascii="仿宋" w:hAnsi="仿宋" w:eastAsia="仿宋" w:cs="仿宋"/>
                <w:color w:val="000000" w:themeColor="text1"/>
                <w:kern w:val="0"/>
                <w:sz w:val="24"/>
                <w:lang w:val="en-US" w:eastAsia="zh-CN"/>
                <w14:textFill>
                  <w14:solidFill>
                    <w14:schemeClr w14:val="tx1"/>
                  </w14:solidFill>
                </w14:textFill>
              </w:rPr>
              <w:t>收支</w:t>
            </w:r>
            <w:r>
              <w:rPr>
                <w:rFonts w:hint="eastAsia" w:ascii="仿宋" w:hAnsi="仿宋" w:eastAsia="仿宋" w:cs="仿宋"/>
                <w:color w:val="000000" w:themeColor="text1"/>
                <w:kern w:val="0"/>
                <w:sz w:val="24"/>
                <w14:textFill>
                  <w14:solidFill>
                    <w14:schemeClr w14:val="tx1"/>
                  </w14:solidFill>
                </w14:textFill>
              </w:rPr>
              <w:t>与服务内容相对应；</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经费使用情况</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项目经费使用比例、资金支出符合协议的规定以及符合政府购买社会</w:t>
            </w:r>
            <w:r>
              <w:rPr>
                <w:rFonts w:hint="eastAsia" w:ascii="仿宋" w:hAnsi="仿宋" w:eastAsia="仿宋" w:cs="仿宋"/>
                <w:color w:val="000000" w:themeColor="text1"/>
                <w:kern w:val="0"/>
                <w:sz w:val="24"/>
                <w:lang w:val="en-US" w:eastAsia="zh-CN"/>
                <w14:textFill>
                  <w14:solidFill>
                    <w14:schemeClr w14:val="tx1"/>
                  </w14:solidFill>
                </w14:textFill>
              </w:rPr>
              <w:t>工作</w:t>
            </w:r>
            <w:r>
              <w:rPr>
                <w:rFonts w:hint="eastAsia" w:ascii="仿宋" w:hAnsi="仿宋" w:eastAsia="仿宋" w:cs="仿宋"/>
                <w:color w:val="000000" w:themeColor="text1"/>
                <w:kern w:val="0"/>
                <w:sz w:val="24"/>
                <w14:textFill>
                  <w14:solidFill>
                    <w14:schemeClr w14:val="tx1"/>
                  </w14:solidFill>
                </w14:textFill>
              </w:rPr>
              <w:t>服务的</w:t>
            </w:r>
            <w:r>
              <w:rPr>
                <w:rFonts w:hint="eastAsia" w:ascii="仿宋" w:hAnsi="仿宋" w:eastAsia="仿宋" w:cs="仿宋"/>
                <w:color w:val="000000" w:themeColor="text1"/>
                <w:kern w:val="0"/>
                <w:sz w:val="24"/>
                <w:lang w:val="en-US" w:eastAsia="zh-CN"/>
                <w14:textFill>
                  <w14:solidFill>
                    <w14:schemeClr w14:val="tx1"/>
                  </w14:solidFill>
                </w14:textFill>
              </w:rPr>
              <w:t>政策</w:t>
            </w:r>
            <w:r>
              <w:rPr>
                <w:rFonts w:hint="eastAsia" w:ascii="仿宋" w:hAnsi="仿宋" w:eastAsia="仿宋" w:cs="仿宋"/>
                <w:color w:val="000000" w:themeColor="text1"/>
                <w:kern w:val="0"/>
                <w:sz w:val="24"/>
                <w14:textFill>
                  <w14:solidFill>
                    <w14:schemeClr w14:val="tx1"/>
                  </w14:solidFill>
                </w14:textFill>
              </w:rPr>
              <w:t>法规。聘请</w:t>
            </w:r>
            <w:r>
              <w:rPr>
                <w:rFonts w:hint="eastAsia" w:ascii="仿宋" w:hAnsi="仿宋" w:eastAsia="仿宋" w:cs="仿宋"/>
                <w:color w:val="000000" w:themeColor="text1"/>
                <w:kern w:val="0"/>
                <w:sz w:val="24"/>
                <w:lang w:val="en-US" w:eastAsia="zh-CN"/>
                <w14:textFill>
                  <w14:solidFill>
                    <w14:schemeClr w14:val="tx1"/>
                  </w14:solidFill>
                </w14:textFill>
              </w:rPr>
              <w:t>具备相应资质的</w:t>
            </w:r>
            <w:r>
              <w:rPr>
                <w:rFonts w:hint="eastAsia" w:ascii="仿宋" w:hAnsi="仿宋" w:eastAsia="仿宋" w:cs="仿宋"/>
                <w:color w:val="000000" w:themeColor="text1"/>
                <w:kern w:val="0"/>
                <w:sz w:val="24"/>
                <w14:textFill>
                  <w14:solidFill>
                    <w14:schemeClr w14:val="tx1"/>
                  </w14:solidFill>
                </w14:textFill>
              </w:rPr>
              <w:t>工作人员</w:t>
            </w:r>
            <w:r>
              <w:rPr>
                <w:rFonts w:hint="eastAsia" w:ascii="仿宋" w:hAnsi="仿宋" w:eastAsia="仿宋" w:cs="仿宋"/>
                <w:color w:val="000000" w:themeColor="text1"/>
                <w:kern w:val="0"/>
                <w:sz w:val="24"/>
                <w:lang w:val="en-US" w:eastAsia="zh-CN"/>
                <w14:textFill>
                  <w14:solidFill>
                    <w14:schemeClr w14:val="tx1"/>
                  </w14:solidFill>
                </w14:textFill>
              </w:rPr>
              <w:t>和</w:t>
            </w:r>
            <w:r>
              <w:rPr>
                <w:rFonts w:hint="eastAsia" w:ascii="仿宋" w:hAnsi="仿宋" w:eastAsia="仿宋" w:cs="仿宋"/>
                <w:color w:val="000000" w:themeColor="text1"/>
                <w:kern w:val="0"/>
                <w:sz w:val="24"/>
                <w14:textFill>
                  <w14:solidFill>
                    <w14:schemeClr w14:val="tx1"/>
                  </w14:solidFill>
                </w14:textFill>
              </w:rPr>
              <w:t>督导</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并签订合同</w:t>
            </w:r>
            <w:r>
              <w:rPr>
                <w:rFonts w:hint="eastAsia" w:ascii="仿宋" w:hAnsi="仿宋" w:eastAsia="仿宋" w:cs="仿宋"/>
                <w:color w:val="000000" w:themeColor="text1"/>
                <w:kern w:val="0"/>
                <w:sz w:val="24"/>
                <w14:textFill>
                  <w14:solidFill>
                    <w14:schemeClr w14:val="tx1"/>
                  </w14:solidFill>
                </w14:textFill>
              </w:rPr>
              <w:t>，定岗定酬合理，收支合规。</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93" w:type="dxa"/>
            <w:gridSpan w:val="2"/>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合    计</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100</w:t>
            </w:r>
          </w:p>
        </w:tc>
      </w:tr>
    </w:tbl>
    <w:p>
      <w:pPr>
        <w:widowControl/>
        <w:jc w:val="left"/>
        <w:rPr>
          <w:rFonts w:ascii="仿宋" w:hAnsi="仿宋" w:eastAsia="仿宋" w:cs="仿宋"/>
          <w:color w:val="000000" w:themeColor="text1"/>
          <w14:textFill>
            <w14:solidFill>
              <w14:schemeClr w14:val="tx1"/>
            </w14:solidFill>
          </w14:textFill>
        </w:rPr>
      </w:pPr>
    </w:p>
    <w:p>
      <w:pPr>
        <w:widowControl/>
        <w:jc w:val="left"/>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color w:val="000000" w:themeColor="text1"/>
          <w:sz w:val="32"/>
          <w:szCs w:val="32"/>
          <w14:textFill>
            <w14:solidFill>
              <w14:schemeClr w14:val="tx1"/>
            </w14:solidFill>
          </w14:textFill>
        </w:rPr>
      </w:pPr>
      <w:bookmarkStart w:id="0" w:name="_GoBack"/>
      <w:r>
        <w:rPr>
          <w:rFonts w:hint="eastAsia" w:ascii="仿宋" w:hAnsi="仿宋" w:eastAsia="仿宋" w:cs="仿宋"/>
          <w:b/>
          <w:color w:val="000000" w:themeColor="text1"/>
          <w:sz w:val="32"/>
          <w:szCs w:val="32"/>
          <w14:textFill>
            <w14:solidFill>
              <w14:schemeClr w14:val="tx1"/>
            </w14:solidFill>
          </w14:textFill>
        </w:rPr>
        <w:t>（五）服务成效（满分 100分）</w:t>
      </w:r>
    </w:p>
    <w:bookmarkEnd w:id="0"/>
    <w:tbl>
      <w:tblPr>
        <w:tblStyle w:val="11"/>
        <w:tblpPr w:leftFromText="180" w:rightFromText="180" w:vertAnchor="text" w:horzAnchor="page" w:tblpX="1697" w:tblpY="157"/>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39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评估指标</w:t>
            </w:r>
          </w:p>
        </w:tc>
        <w:tc>
          <w:tcPr>
            <w:tcW w:w="6392"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评分说明</w:t>
            </w:r>
          </w:p>
        </w:tc>
        <w:tc>
          <w:tcPr>
            <w:tcW w:w="826"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szCs w:val="28"/>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restart"/>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目标实现程度</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服务对象的受益情况及改变率；</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服务总体目标成效；</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1" w:type="dxa"/>
            <w:vMerge w:val="continue"/>
            <w:vAlign w:val="center"/>
          </w:tcPr>
          <w:p>
            <w:pPr>
              <w:widowControl/>
              <w:jc w:val="center"/>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总体服务过程成效（调动社区资源、推动公共参与、搭建协商机制）；</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1" w:type="dxa"/>
            <w:vMerge w:val="restart"/>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利益相关方的沟通与服务满意</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服务对象及其相关人员对承接主体所提供服务的满意度；</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1" w:type="dxa"/>
            <w:vMerge w:val="continue"/>
            <w:vAlign w:val="center"/>
          </w:tcPr>
          <w:p>
            <w:pPr>
              <w:widowControl/>
              <w:jc w:val="left"/>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购买主体对承接主体所提供服务的满意度；</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01" w:type="dxa"/>
            <w:vMerge w:val="continue"/>
            <w:vAlign w:val="center"/>
          </w:tcPr>
          <w:p>
            <w:pPr>
              <w:widowControl/>
              <w:jc w:val="left"/>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服务辖区的党政有关部门、相关职能部门和组织对服务承接主体工作的认可程度；</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1" w:type="dxa"/>
            <w:vMerge w:val="restart"/>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社会效益</w:t>
            </w: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社会反响，包括奖惩情况、宣传报道、研究成果等；</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1" w:type="dxa"/>
            <w:vMerge w:val="continue"/>
            <w:vAlign w:val="center"/>
          </w:tcPr>
          <w:p>
            <w:pPr>
              <w:widowControl/>
              <w:jc w:val="left"/>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决策影响，即对项目可持续发展的思考与建议被相关部门采纳；</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1" w:type="dxa"/>
            <w:vMerge w:val="continue"/>
            <w:vAlign w:val="center"/>
          </w:tcPr>
          <w:p>
            <w:pPr>
              <w:widowControl/>
              <w:jc w:val="left"/>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资源整合情况，包括组织参与、社会捐赠、志愿者参与等；</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01" w:type="dxa"/>
            <w:vMerge w:val="continue"/>
            <w:vAlign w:val="center"/>
          </w:tcPr>
          <w:p>
            <w:pPr>
              <w:widowControl/>
              <w:jc w:val="left"/>
              <w:rPr>
                <w:rFonts w:ascii="仿宋" w:hAnsi="仿宋" w:eastAsia="仿宋" w:cs="仿宋"/>
                <w:b/>
                <w:bCs/>
                <w:color w:val="000000" w:themeColor="text1"/>
                <w:kern w:val="0"/>
                <w:sz w:val="24"/>
                <w14:textFill>
                  <w14:solidFill>
                    <w14:schemeClr w14:val="tx1"/>
                  </w14:solidFill>
                </w14:textFill>
              </w:rPr>
            </w:pPr>
          </w:p>
        </w:tc>
        <w:tc>
          <w:tcPr>
            <w:tcW w:w="6392" w:type="dxa"/>
            <w:vAlign w:val="center"/>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服务模式的提炼与总结。</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93" w:type="dxa"/>
            <w:gridSpan w:val="2"/>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合    计</w:t>
            </w:r>
          </w:p>
        </w:tc>
        <w:tc>
          <w:tcPr>
            <w:tcW w:w="826" w:type="dxa"/>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w:t>
            </w:r>
          </w:p>
        </w:tc>
      </w:tr>
    </w:tbl>
    <w:p>
      <w:pPr>
        <w:rPr>
          <w:rFonts w:ascii="仿宋" w:hAnsi="仿宋" w:eastAsia="仿宋" w:cs="仿宋"/>
          <w:color w:val="000000" w:themeColor="text1"/>
          <w14:textFill>
            <w14:solidFill>
              <w14:schemeClr w14:val="tx1"/>
            </w14:solidFill>
          </w14:textFill>
        </w:rPr>
      </w:pPr>
    </w:p>
    <w:p/>
    <w:sectPr>
      <w:footerReference r:id="rId3" w:type="default"/>
      <w:pgSz w:w="11906" w:h="16838"/>
      <w:pgMar w:top="1440" w:right="1531" w:bottom="1440" w:left="1531" w:header="851" w:footer="992" w:gutter="0"/>
      <w:cols w:space="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6886304"/>
    </w:sdtPr>
    <w:sdtContent>
      <w:p>
        <w:pPr>
          <w:pStyle w:val="6"/>
          <w:jc w:val="center"/>
        </w:pPr>
        <w:r>
          <w:fldChar w:fldCharType="begin"/>
        </w:r>
        <w:r>
          <w:instrText xml:space="preserve">PAGE   \* MERGEFORMAT</w:instrText>
        </w:r>
        <w:r>
          <w:fldChar w:fldCharType="separate"/>
        </w:r>
        <w:r>
          <w:rPr>
            <w:lang w:val="zh-CN"/>
          </w:rPr>
          <w:t>22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2518C"/>
    <w:multiLevelType w:val="singleLevel"/>
    <w:tmpl w:val="36A2518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OWQzYmM3ZjAwMTAyNTA2OTg2NjU0NDNjNGFmZTIifQ=="/>
  </w:docVars>
  <w:rsids>
    <w:rsidRoot w:val="5BB788C9"/>
    <w:rsid w:val="00015309"/>
    <w:rsid w:val="00016B6A"/>
    <w:rsid w:val="00021548"/>
    <w:rsid w:val="00024B39"/>
    <w:rsid w:val="00040023"/>
    <w:rsid w:val="0005645B"/>
    <w:rsid w:val="00096308"/>
    <w:rsid w:val="000A7099"/>
    <w:rsid w:val="000E1861"/>
    <w:rsid w:val="000E549A"/>
    <w:rsid w:val="000F39BF"/>
    <w:rsid w:val="00106D41"/>
    <w:rsid w:val="00112549"/>
    <w:rsid w:val="0012481C"/>
    <w:rsid w:val="00140683"/>
    <w:rsid w:val="001578C2"/>
    <w:rsid w:val="00172876"/>
    <w:rsid w:val="001802F8"/>
    <w:rsid w:val="00181626"/>
    <w:rsid w:val="00194E28"/>
    <w:rsid w:val="001955E8"/>
    <w:rsid w:val="001B1BA3"/>
    <w:rsid w:val="001C121F"/>
    <w:rsid w:val="001D0504"/>
    <w:rsid w:val="00201921"/>
    <w:rsid w:val="00214F9F"/>
    <w:rsid w:val="0022234B"/>
    <w:rsid w:val="00242536"/>
    <w:rsid w:val="00242A58"/>
    <w:rsid w:val="002464C2"/>
    <w:rsid w:val="00254F99"/>
    <w:rsid w:val="00294FC4"/>
    <w:rsid w:val="002B0C43"/>
    <w:rsid w:val="002B5785"/>
    <w:rsid w:val="002B607D"/>
    <w:rsid w:val="003077F5"/>
    <w:rsid w:val="0031340D"/>
    <w:rsid w:val="00315DEB"/>
    <w:rsid w:val="003232C0"/>
    <w:rsid w:val="0034782B"/>
    <w:rsid w:val="00357A75"/>
    <w:rsid w:val="003844DE"/>
    <w:rsid w:val="00392411"/>
    <w:rsid w:val="003B097A"/>
    <w:rsid w:val="003C6A96"/>
    <w:rsid w:val="003C7748"/>
    <w:rsid w:val="003D2F3D"/>
    <w:rsid w:val="0043145D"/>
    <w:rsid w:val="00437CEF"/>
    <w:rsid w:val="00446348"/>
    <w:rsid w:val="00467CFE"/>
    <w:rsid w:val="004947BD"/>
    <w:rsid w:val="0049797D"/>
    <w:rsid w:val="004A22BD"/>
    <w:rsid w:val="004A4A48"/>
    <w:rsid w:val="004C08FB"/>
    <w:rsid w:val="004F678B"/>
    <w:rsid w:val="00530825"/>
    <w:rsid w:val="005361A8"/>
    <w:rsid w:val="00536308"/>
    <w:rsid w:val="00541884"/>
    <w:rsid w:val="00564AAB"/>
    <w:rsid w:val="005759D9"/>
    <w:rsid w:val="00596054"/>
    <w:rsid w:val="005E29BA"/>
    <w:rsid w:val="00604816"/>
    <w:rsid w:val="00615C60"/>
    <w:rsid w:val="00626FAD"/>
    <w:rsid w:val="00644445"/>
    <w:rsid w:val="00645018"/>
    <w:rsid w:val="006660B3"/>
    <w:rsid w:val="00666C46"/>
    <w:rsid w:val="0067250D"/>
    <w:rsid w:val="00682DA8"/>
    <w:rsid w:val="00685C9A"/>
    <w:rsid w:val="00693C89"/>
    <w:rsid w:val="006A6ABB"/>
    <w:rsid w:val="006E49F5"/>
    <w:rsid w:val="007067B4"/>
    <w:rsid w:val="00720E1D"/>
    <w:rsid w:val="007510B1"/>
    <w:rsid w:val="00763CC2"/>
    <w:rsid w:val="00776A55"/>
    <w:rsid w:val="007C3C88"/>
    <w:rsid w:val="007D30D3"/>
    <w:rsid w:val="007E1B34"/>
    <w:rsid w:val="008149E3"/>
    <w:rsid w:val="008402DB"/>
    <w:rsid w:val="00842CF3"/>
    <w:rsid w:val="008669DC"/>
    <w:rsid w:val="00872310"/>
    <w:rsid w:val="00880AC9"/>
    <w:rsid w:val="00887522"/>
    <w:rsid w:val="00897240"/>
    <w:rsid w:val="008A6779"/>
    <w:rsid w:val="008D44D4"/>
    <w:rsid w:val="008E5209"/>
    <w:rsid w:val="008F004A"/>
    <w:rsid w:val="008F45DA"/>
    <w:rsid w:val="00913CE8"/>
    <w:rsid w:val="00920F4A"/>
    <w:rsid w:val="009256D1"/>
    <w:rsid w:val="00925C0B"/>
    <w:rsid w:val="00935A21"/>
    <w:rsid w:val="009375BE"/>
    <w:rsid w:val="00954401"/>
    <w:rsid w:val="00966C5D"/>
    <w:rsid w:val="009E50B2"/>
    <w:rsid w:val="00A15636"/>
    <w:rsid w:val="00A57EB2"/>
    <w:rsid w:val="00A62383"/>
    <w:rsid w:val="00A80937"/>
    <w:rsid w:val="00AA7DBA"/>
    <w:rsid w:val="00AB4451"/>
    <w:rsid w:val="00AB4B73"/>
    <w:rsid w:val="00AD751D"/>
    <w:rsid w:val="00AE783D"/>
    <w:rsid w:val="00B22327"/>
    <w:rsid w:val="00B233AA"/>
    <w:rsid w:val="00B3639A"/>
    <w:rsid w:val="00B462F5"/>
    <w:rsid w:val="00B6100A"/>
    <w:rsid w:val="00B73F20"/>
    <w:rsid w:val="00B94683"/>
    <w:rsid w:val="00BB1868"/>
    <w:rsid w:val="00BB65BD"/>
    <w:rsid w:val="00BF5BFB"/>
    <w:rsid w:val="00C125C0"/>
    <w:rsid w:val="00C4542F"/>
    <w:rsid w:val="00C719CB"/>
    <w:rsid w:val="00C86964"/>
    <w:rsid w:val="00C90B19"/>
    <w:rsid w:val="00CC251C"/>
    <w:rsid w:val="00CC631F"/>
    <w:rsid w:val="00CE05C5"/>
    <w:rsid w:val="00D0738F"/>
    <w:rsid w:val="00D11CEA"/>
    <w:rsid w:val="00D3652C"/>
    <w:rsid w:val="00D50287"/>
    <w:rsid w:val="00D60EA1"/>
    <w:rsid w:val="00D62A11"/>
    <w:rsid w:val="00D75038"/>
    <w:rsid w:val="00D8278E"/>
    <w:rsid w:val="00D90DC8"/>
    <w:rsid w:val="00D92606"/>
    <w:rsid w:val="00D95B93"/>
    <w:rsid w:val="00D9767F"/>
    <w:rsid w:val="00DA0F05"/>
    <w:rsid w:val="00DA5CFC"/>
    <w:rsid w:val="00DB37BC"/>
    <w:rsid w:val="00DB6AAC"/>
    <w:rsid w:val="00DC3FF9"/>
    <w:rsid w:val="00DE30B8"/>
    <w:rsid w:val="00E458D1"/>
    <w:rsid w:val="00E50EFB"/>
    <w:rsid w:val="00E51171"/>
    <w:rsid w:val="00E6396A"/>
    <w:rsid w:val="00EA3593"/>
    <w:rsid w:val="00EB78B3"/>
    <w:rsid w:val="00EF1F89"/>
    <w:rsid w:val="00EF2174"/>
    <w:rsid w:val="00F02935"/>
    <w:rsid w:val="00F057AA"/>
    <w:rsid w:val="00F13804"/>
    <w:rsid w:val="00F40B44"/>
    <w:rsid w:val="00F4543D"/>
    <w:rsid w:val="00F5790E"/>
    <w:rsid w:val="00F844AF"/>
    <w:rsid w:val="00F86C85"/>
    <w:rsid w:val="00F9086A"/>
    <w:rsid w:val="00FA19A0"/>
    <w:rsid w:val="00FB20B4"/>
    <w:rsid w:val="00FC1600"/>
    <w:rsid w:val="00FD7588"/>
    <w:rsid w:val="01016812"/>
    <w:rsid w:val="01224FAE"/>
    <w:rsid w:val="02D90D84"/>
    <w:rsid w:val="02E51B14"/>
    <w:rsid w:val="043F1371"/>
    <w:rsid w:val="045D6FCB"/>
    <w:rsid w:val="054F2189"/>
    <w:rsid w:val="06137950"/>
    <w:rsid w:val="06AF1523"/>
    <w:rsid w:val="07B21E6B"/>
    <w:rsid w:val="07F05E46"/>
    <w:rsid w:val="082F345B"/>
    <w:rsid w:val="086233C4"/>
    <w:rsid w:val="089F174A"/>
    <w:rsid w:val="08D850BA"/>
    <w:rsid w:val="0A920C5B"/>
    <w:rsid w:val="0B5044DD"/>
    <w:rsid w:val="0BF81AEB"/>
    <w:rsid w:val="0C4B3211"/>
    <w:rsid w:val="0CE14688"/>
    <w:rsid w:val="0E2F4502"/>
    <w:rsid w:val="0E582D8D"/>
    <w:rsid w:val="0E7006C5"/>
    <w:rsid w:val="0EEF642C"/>
    <w:rsid w:val="0F2D0A6F"/>
    <w:rsid w:val="0F6E5BF6"/>
    <w:rsid w:val="0FDA7DE0"/>
    <w:rsid w:val="10220191"/>
    <w:rsid w:val="117F3917"/>
    <w:rsid w:val="11DF422C"/>
    <w:rsid w:val="131A3B39"/>
    <w:rsid w:val="14783D15"/>
    <w:rsid w:val="14AA32D2"/>
    <w:rsid w:val="14BE40B6"/>
    <w:rsid w:val="1508511D"/>
    <w:rsid w:val="15793122"/>
    <w:rsid w:val="169E51F8"/>
    <w:rsid w:val="17751481"/>
    <w:rsid w:val="178E3FDF"/>
    <w:rsid w:val="180C43BE"/>
    <w:rsid w:val="18496D14"/>
    <w:rsid w:val="192D43CD"/>
    <w:rsid w:val="1A0B22A9"/>
    <w:rsid w:val="1B4F3BF3"/>
    <w:rsid w:val="1BB611A3"/>
    <w:rsid w:val="1BDB4197"/>
    <w:rsid w:val="1CFE6C58"/>
    <w:rsid w:val="1E3926F9"/>
    <w:rsid w:val="1E4824F9"/>
    <w:rsid w:val="1E6D7CAF"/>
    <w:rsid w:val="1F97CA9D"/>
    <w:rsid w:val="20CB44D2"/>
    <w:rsid w:val="218B1C13"/>
    <w:rsid w:val="22AD19A3"/>
    <w:rsid w:val="24336760"/>
    <w:rsid w:val="249B4028"/>
    <w:rsid w:val="24B66B75"/>
    <w:rsid w:val="26B97294"/>
    <w:rsid w:val="26E917D0"/>
    <w:rsid w:val="26F3073F"/>
    <w:rsid w:val="26F60278"/>
    <w:rsid w:val="275DEC91"/>
    <w:rsid w:val="280060E5"/>
    <w:rsid w:val="28B55993"/>
    <w:rsid w:val="28C279F5"/>
    <w:rsid w:val="28C754F3"/>
    <w:rsid w:val="29C54BB8"/>
    <w:rsid w:val="2B2EEEF9"/>
    <w:rsid w:val="2C4D4F59"/>
    <w:rsid w:val="2CFE61CA"/>
    <w:rsid w:val="2EC1585E"/>
    <w:rsid w:val="2EC47A68"/>
    <w:rsid w:val="30A004FF"/>
    <w:rsid w:val="32916DA4"/>
    <w:rsid w:val="34376EE6"/>
    <w:rsid w:val="34420FF7"/>
    <w:rsid w:val="3505546E"/>
    <w:rsid w:val="362A72E9"/>
    <w:rsid w:val="363F6C89"/>
    <w:rsid w:val="38F81A91"/>
    <w:rsid w:val="39C602F7"/>
    <w:rsid w:val="39CC18B0"/>
    <w:rsid w:val="3A03179B"/>
    <w:rsid w:val="3CA304B2"/>
    <w:rsid w:val="3D0B28A8"/>
    <w:rsid w:val="3D273877"/>
    <w:rsid w:val="3D825230"/>
    <w:rsid w:val="3DA15E90"/>
    <w:rsid w:val="3E481693"/>
    <w:rsid w:val="3EA22F99"/>
    <w:rsid w:val="3ED943D3"/>
    <w:rsid w:val="3F2B6C3E"/>
    <w:rsid w:val="3FFE3453"/>
    <w:rsid w:val="41F028AF"/>
    <w:rsid w:val="423040D7"/>
    <w:rsid w:val="439E731A"/>
    <w:rsid w:val="44553914"/>
    <w:rsid w:val="455C42AC"/>
    <w:rsid w:val="460E0D21"/>
    <w:rsid w:val="465E6BE2"/>
    <w:rsid w:val="468A61F2"/>
    <w:rsid w:val="47604C61"/>
    <w:rsid w:val="484C6BEE"/>
    <w:rsid w:val="486D1B20"/>
    <w:rsid w:val="490F3288"/>
    <w:rsid w:val="4AAC69DE"/>
    <w:rsid w:val="4AE2763A"/>
    <w:rsid w:val="4CC36B68"/>
    <w:rsid w:val="4DED0F75"/>
    <w:rsid w:val="4EBC69C8"/>
    <w:rsid w:val="503109C1"/>
    <w:rsid w:val="51757157"/>
    <w:rsid w:val="525A68E5"/>
    <w:rsid w:val="536E7449"/>
    <w:rsid w:val="53D14D04"/>
    <w:rsid w:val="563C3FC6"/>
    <w:rsid w:val="56D12669"/>
    <w:rsid w:val="575D51D3"/>
    <w:rsid w:val="576735F9"/>
    <w:rsid w:val="58D51A2E"/>
    <w:rsid w:val="598F1962"/>
    <w:rsid w:val="599C48DE"/>
    <w:rsid w:val="5A857234"/>
    <w:rsid w:val="5B8B79EA"/>
    <w:rsid w:val="5BA3218E"/>
    <w:rsid w:val="5BB788C9"/>
    <w:rsid w:val="5BEF0AD0"/>
    <w:rsid w:val="5BF728E3"/>
    <w:rsid w:val="5C2A1079"/>
    <w:rsid w:val="5C44780E"/>
    <w:rsid w:val="5C641F32"/>
    <w:rsid w:val="5DDDB0FB"/>
    <w:rsid w:val="5E2B1A40"/>
    <w:rsid w:val="5F06230D"/>
    <w:rsid w:val="5FCA36BE"/>
    <w:rsid w:val="60047B86"/>
    <w:rsid w:val="601872ED"/>
    <w:rsid w:val="61266B1E"/>
    <w:rsid w:val="61D30A57"/>
    <w:rsid w:val="63FA0D60"/>
    <w:rsid w:val="647F3678"/>
    <w:rsid w:val="680E6267"/>
    <w:rsid w:val="69AE58BF"/>
    <w:rsid w:val="6B7F482F"/>
    <w:rsid w:val="6BEB447B"/>
    <w:rsid w:val="6C5A4C93"/>
    <w:rsid w:val="6C6D62CF"/>
    <w:rsid w:val="6D0D6009"/>
    <w:rsid w:val="6DD554DC"/>
    <w:rsid w:val="6EF034C7"/>
    <w:rsid w:val="6EF810DE"/>
    <w:rsid w:val="710D3EF2"/>
    <w:rsid w:val="714C3D8B"/>
    <w:rsid w:val="71BA68D4"/>
    <w:rsid w:val="72C5084F"/>
    <w:rsid w:val="72EE0638"/>
    <w:rsid w:val="73461357"/>
    <w:rsid w:val="735B324B"/>
    <w:rsid w:val="736A0B00"/>
    <w:rsid w:val="761F0CB6"/>
    <w:rsid w:val="783B5D1C"/>
    <w:rsid w:val="7899312A"/>
    <w:rsid w:val="790D1982"/>
    <w:rsid w:val="79E63DD9"/>
    <w:rsid w:val="7A50405F"/>
    <w:rsid w:val="7A8F5E1D"/>
    <w:rsid w:val="7BC22D4A"/>
    <w:rsid w:val="7DA62883"/>
    <w:rsid w:val="7DC131E7"/>
    <w:rsid w:val="7E263565"/>
    <w:rsid w:val="7EB53701"/>
    <w:rsid w:val="7EF21D46"/>
    <w:rsid w:val="7F2D2647"/>
    <w:rsid w:val="7F617ED2"/>
    <w:rsid w:val="7FBA1CCB"/>
    <w:rsid w:val="8DFDD688"/>
    <w:rsid w:val="ABD7858C"/>
    <w:rsid w:val="D6FD2DBD"/>
    <w:rsid w:val="DF6F8AB5"/>
    <w:rsid w:val="E3ADFF20"/>
    <w:rsid w:val="EFF37848"/>
    <w:rsid w:val="F7F7172D"/>
    <w:rsid w:val="FBEF1D34"/>
    <w:rsid w:val="FEEFB450"/>
    <w:rsid w:val="FFCC3CDB"/>
    <w:rsid w:val="FFF5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ind w:left="180" w:leftChars="75" w:right="-82" w:rightChars="-34"/>
      <w:jc w:val="left"/>
    </w:pPr>
    <w:rPr>
      <w:rFonts w:ascii="宋体" w:hAnsi="宋体"/>
      <w:b/>
      <w:bCs/>
      <w:caps/>
      <w:szCs w:val="21"/>
    </w:rPr>
  </w:style>
  <w:style w:type="paragraph" w:styleId="3">
    <w:name w:val="annotation text"/>
    <w:basedOn w:val="1"/>
    <w:link w:val="20"/>
    <w:qFormat/>
    <w:uiPriority w:val="0"/>
    <w:pPr>
      <w:jc w:val="left"/>
    </w:pPr>
  </w:style>
  <w:style w:type="paragraph" w:styleId="4">
    <w:name w:val="endnote text"/>
    <w:basedOn w:val="1"/>
    <w:link w:val="22"/>
    <w:qFormat/>
    <w:uiPriority w:val="0"/>
    <w:pPr>
      <w:snapToGrid w:val="0"/>
      <w:jc w:val="left"/>
    </w:pPr>
  </w:style>
  <w:style w:type="paragraph" w:styleId="5">
    <w:name w:val="Balloon Text"/>
    <w:basedOn w:val="1"/>
    <w:link w:val="19"/>
    <w:qFormat/>
    <w:uiPriority w:val="0"/>
    <w:rPr>
      <w:sz w:val="18"/>
      <w:szCs w:val="18"/>
    </w:rPr>
  </w:style>
  <w:style w:type="paragraph" w:styleId="6">
    <w:name w:val="footer"/>
    <w:basedOn w:val="1"/>
    <w:link w:val="25"/>
    <w:qFormat/>
    <w:uiPriority w:val="99"/>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qFormat/>
    <w:uiPriority w:val="0"/>
    <w:pPr>
      <w:snapToGrid w:val="0"/>
      <w:jc w:val="left"/>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6"/>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annotation reference"/>
    <w:basedOn w:val="13"/>
    <w:qFormat/>
    <w:uiPriority w:val="0"/>
    <w:rPr>
      <w:sz w:val="21"/>
      <w:szCs w:val="21"/>
    </w:rPr>
  </w:style>
  <w:style w:type="character" w:styleId="17">
    <w:name w:val="footnote reference"/>
    <w:basedOn w:val="13"/>
    <w:qFormat/>
    <w:uiPriority w:val="0"/>
    <w:rPr>
      <w:vertAlign w:val="superscript"/>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5"/>
    <w:qFormat/>
    <w:uiPriority w:val="0"/>
    <w:rPr>
      <w:kern w:val="2"/>
      <w:sz w:val="18"/>
      <w:szCs w:val="18"/>
    </w:rPr>
  </w:style>
  <w:style w:type="character" w:customStyle="1" w:styleId="20">
    <w:name w:val="批注文字 Char"/>
    <w:basedOn w:val="13"/>
    <w:link w:val="3"/>
    <w:qFormat/>
    <w:uiPriority w:val="0"/>
    <w:rPr>
      <w:kern w:val="2"/>
      <w:sz w:val="21"/>
      <w:szCs w:val="24"/>
    </w:rPr>
  </w:style>
  <w:style w:type="paragraph" w:customStyle="1" w:styleId="21">
    <w:name w:val="列出段落2"/>
    <w:basedOn w:val="1"/>
    <w:unhideWhenUsed/>
    <w:qFormat/>
    <w:uiPriority w:val="99"/>
    <w:pPr>
      <w:ind w:firstLine="420" w:firstLineChars="200"/>
    </w:pPr>
  </w:style>
  <w:style w:type="character" w:customStyle="1" w:styleId="22">
    <w:name w:val="尾注文本 Char"/>
    <w:basedOn w:val="13"/>
    <w:link w:val="4"/>
    <w:qFormat/>
    <w:uiPriority w:val="0"/>
    <w:rPr>
      <w:kern w:val="2"/>
      <w:sz w:val="21"/>
      <w:szCs w:val="24"/>
    </w:rPr>
  </w:style>
  <w:style w:type="character" w:customStyle="1" w:styleId="23">
    <w:name w:val="脚注文本 Char"/>
    <w:basedOn w:val="13"/>
    <w:link w:val="8"/>
    <w:qFormat/>
    <w:uiPriority w:val="0"/>
    <w:rPr>
      <w:kern w:val="2"/>
      <w:sz w:val="18"/>
      <w:szCs w:val="18"/>
    </w:rPr>
  </w:style>
  <w:style w:type="character" w:customStyle="1" w:styleId="24">
    <w:name w:val="页眉 Char"/>
    <w:basedOn w:val="13"/>
    <w:link w:val="7"/>
    <w:qFormat/>
    <w:uiPriority w:val="0"/>
    <w:rPr>
      <w:kern w:val="2"/>
      <w:sz w:val="18"/>
      <w:szCs w:val="18"/>
    </w:rPr>
  </w:style>
  <w:style w:type="character" w:customStyle="1" w:styleId="25">
    <w:name w:val="页脚 Char"/>
    <w:basedOn w:val="13"/>
    <w:link w:val="6"/>
    <w:qFormat/>
    <w:uiPriority w:val="99"/>
    <w:rPr>
      <w:kern w:val="2"/>
      <w:sz w:val="18"/>
      <w:szCs w:val="18"/>
    </w:rPr>
  </w:style>
  <w:style w:type="character" w:customStyle="1" w:styleId="26">
    <w:name w:val="批注主题 Char"/>
    <w:basedOn w:val="20"/>
    <w:link w:val="10"/>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60B6-BCFB-4C04-88AE-0B7285A67CE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9865</Words>
  <Characters>10080</Characters>
  <Lines>73</Lines>
  <Paragraphs>20</Paragraphs>
  <TotalTime>13</TotalTime>
  <ScaleCrop>false</ScaleCrop>
  <LinksUpToDate>false</LinksUpToDate>
  <CharactersWithSpaces>10141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2019-12-18T17:32:00Z</dcterms:created>
  <dc:creator>juanjuananan</dc:creator>
  <cp:lastModifiedBy>林钦燕</cp:lastModifiedBy>
  <cp:lastPrinted>2023-07-31T01:09:00Z</cp:lastPrinted>
  <dcterms:modified xsi:type="dcterms:W3CDTF">2023-08-01T00:05:33Z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8C445C8132234297960B6645667401CF_13</vt:lpwstr>
  </property>
</Properties>
</file>