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黑体" w:hAnsi="黑体" w:eastAsia="黑体" w:cs="黑体"/>
          <w:bCs/>
          <w:color w:val="000000" w:themeColor="text1"/>
          <w:kern w:val="0"/>
          <w:sz w:val="44"/>
          <w:szCs w:val="44"/>
          <w14:textFill>
            <w14:solidFill>
              <w14:schemeClr w14:val="tx1"/>
            </w14:solidFill>
          </w14:textFill>
        </w:rPr>
      </w:pPr>
      <w:r>
        <w:rPr>
          <w:rFonts w:hint="eastAsia" w:ascii="黑体" w:hAnsi="黑体" w:eastAsia="黑体" w:cs="黑体"/>
          <w:bCs/>
          <w:color w:val="000000" w:themeColor="text1"/>
          <w:kern w:val="0"/>
          <w:sz w:val="44"/>
          <w:szCs w:val="44"/>
          <w14:textFill>
            <w14:solidFill>
              <w14:schemeClr w14:val="tx1"/>
            </w14:solidFill>
          </w14:textFill>
        </w:rPr>
        <w:t>福州市</w:t>
      </w:r>
      <w:r>
        <w:rPr>
          <w:rFonts w:hint="eastAsia" w:ascii="黑体" w:hAnsi="黑体" w:eastAsia="黑体" w:cs="黑体"/>
          <w:bCs/>
          <w:color w:val="000000" w:themeColor="text1"/>
          <w:kern w:val="0"/>
          <w:sz w:val="44"/>
          <w:szCs w:val="44"/>
          <w:lang w:val="en-US" w:eastAsia="zh-CN"/>
          <w14:textFill>
            <w14:solidFill>
              <w14:schemeClr w14:val="tx1"/>
            </w14:solidFill>
          </w14:textFill>
        </w:rPr>
        <w:t>民政领域政府</w:t>
      </w:r>
      <w:r>
        <w:rPr>
          <w:rFonts w:hint="eastAsia" w:ascii="黑体" w:hAnsi="黑体" w:eastAsia="黑体" w:cs="黑体"/>
          <w:bCs/>
          <w:color w:val="000000" w:themeColor="text1"/>
          <w:kern w:val="0"/>
          <w:sz w:val="44"/>
          <w:szCs w:val="44"/>
          <w14:textFill>
            <w14:solidFill>
              <w14:schemeClr w14:val="tx1"/>
            </w14:solidFill>
          </w14:textFill>
        </w:rPr>
        <w:t>购买社会工作服务项目</w:t>
      </w:r>
    </w:p>
    <w:p>
      <w:pPr>
        <w:widowControl/>
        <w:adjustRightInd w:val="0"/>
        <w:snapToGrid w:val="0"/>
        <w:jc w:val="center"/>
        <w:rPr>
          <w:rFonts w:ascii="黑体" w:hAnsi="黑体" w:eastAsia="黑体" w:cs="黑体"/>
          <w:bCs/>
          <w:color w:val="000000" w:themeColor="text1"/>
          <w:kern w:val="0"/>
          <w:sz w:val="44"/>
          <w:szCs w:val="44"/>
          <w:u w:val="single"/>
          <w14:textFill>
            <w14:solidFill>
              <w14:schemeClr w14:val="tx1"/>
            </w14:solidFill>
          </w14:textFill>
        </w:rPr>
      </w:pPr>
      <w:r>
        <w:rPr>
          <w:rFonts w:hint="eastAsia" w:ascii="黑体" w:hAnsi="黑体" w:eastAsia="黑体" w:cs="黑体"/>
          <w:bCs/>
          <w:color w:val="000000" w:themeColor="text1"/>
          <w:kern w:val="0"/>
          <w:sz w:val="44"/>
          <w:szCs w:val="44"/>
          <w14:textFill>
            <w14:solidFill>
              <w14:schemeClr w14:val="tx1"/>
            </w14:solidFill>
          </w14:textFill>
        </w:rPr>
        <w:t>操作规程</w:t>
      </w:r>
      <w:r>
        <w:rPr>
          <w:rFonts w:hint="eastAsia" w:ascii="黑体" w:hAnsi="黑体" w:eastAsia="黑体" w:cs="黑体"/>
          <w:bCs/>
          <w:color w:val="000000" w:themeColor="text1"/>
          <w:kern w:val="0"/>
          <w:sz w:val="44"/>
          <w:szCs w:val="44"/>
          <w:lang w:eastAsia="zh-CN"/>
          <w14:textFill>
            <w14:solidFill>
              <w14:schemeClr w14:val="tx1"/>
            </w14:solidFill>
          </w14:textFill>
        </w:rPr>
        <w:t>（征求意见稿）</w:t>
      </w:r>
    </w:p>
    <w:p>
      <w:pPr>
        <w:adjustRightInd w:val="0"/>
        <w:snapToGrid w:val="0"/>
        <w:spacing w:line="360" w:lineRule="auto"/>
        <w:jc w:val="center"/>
        <w:rPr>
          <w:rFonts w:ascii="仿宋" w:hAnsi="仿宋" w:eastAsia="仿宋" w:cs="仿宋"/>
          <w:color w:val="000000" w:themeColor="text1"/>
          <w:kern w:val="0"/>
          <w:sz w:val="32"/>
          <w:szCs w:val="32"/>
          <w14:textFill>
            <w14:solidFill>
              <w14:schemeClr w14:val="tx1"/>
            </w14:solidFill>
          </w14:textFill>
        </w:rPr>
      </w:pPr>
    </w:p>
    <w:p>
      <w:pPr>
        <w:adjustRightInd w:val="0"/>
        <w:snapToGrid w:val="0"/>
        <w:spacing w:line="360" w:lineRule="auto"/>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总则</w:t>
      </w:r>
    </w:p>
    <w:p>
      <w:pPr>
        <w:adjustRightInd w:val="0"/>
        <w:snapToGrid w:val="0"/>
        <w:spacing w:line="360" w:lineRule="auto"/>
        <w:jc w:val="center"/>
        <w:rPr>
          <w:rFonts w:ascii="黑体" w:hAnsi="黑体" w:eastAsia="黑体" w:cs="黑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第一条 </w:t>
      </w:r>
      <w:r>
        <w:rPr>
          <w:rFonts w:hint="eastAsia" w:ascii="仿宋" w:hAnsi="仿宋" w:eastAsia="仿宋" w:cs="仿宋"/>
          <w:color w:val="000000" w:themeColor="text1"/>
          <w:sz w:val="32"/>
          <w:szCs w:val="32"/>
          <w14:textFill>
            <w14:solidFill>
              <w14:schemeClr w14:val="tx1"/>
            </w14:solidFill>
          </w14:textFill>
        </w:rPr>
        <w:t>为加快推进我市社会工作专业人才队伍建设，实现</w:t>
      </w:r>
      <w:r>
        <w:rPr>
          <w:rFonts w:hint="eastAsia" w:ascii="仿宋" w:hAnsi="仿宋" w:eastAsia="仿宋" w:cs="仿宋"/>
          <w:color w:val="000000" w:themeColor="text1"/>
          <w:sz w:val="32"/>
          <w:szCs w:val="32"/>
          <w:lang w:val="en-US" w:eastAsia="zh-CN"/>
          <w14:textFill>
            <w14:solidFill>
              <w14:schemeClr w14:val="tx1"/>
            </w14:solidFill>
          </w14:textFill>
        </w:rPr>
        <w:t>民政领域</w:t>
      </w:r>
      <w:r>
        <w:rPr>
          <w:rFonts w:hint="eastAsia" w:ascii="仿宋" w:hAnsi="仿宋" w:eastAsia="仿宋" w:cs="仿宋"/>
          <w:color w:val="000000" w:themeColor="text1"/>
          <w:sz w:val="32"/>
          <w:szCs w:val="32"/>
          <w14:textFill>
            <w14:solidFill>
              <w14:schemeClr w14:val="tx1"/>
            </w14:solidFill>
          </w14:textFill>
        </w:rPr>
        <w:t>政府购买社会工作服务制度化、规范化，</w:t>
      </w:r>
      <w:r>
        <w:rPr>
          <w:rFonts w:hint="eastAsia" w:ascii="仿宋" w:hAnsi="仿宋" w:eastAsia="仿宋" w:cs="仿宋"/>
          <w:color w:val="000000" w:themeColor="text1"/>
          <w:kern w:val="0"/>
          <w:sz w:val="32"/>
          <w:szCs w:val="32"/>
          <w14:textFill>
            <w14:solidFill>
              <w14:schemeClr w14:val="tx1"/>
            </w14:solidFill>
          </w14:textFill>
        </w:rPr>
        <w:t>根据《民政部、财政部关于政府购买社会工作服务的指导意见》（民发〔2012〕196号）、《民政部、财政部、人力资源和社会保障部等12部委关于加强社会工作专业岗位开发与人才激励保障的意见》（民发〔2016〕186号）</w:t>
      </w:r>
      <w:r>
        <w:rPr>
          <w:rFonts w:hint="eastAsia" w:ascii="仿宋" w:hAnsi="仿宋" w:eastAsia="仿宋" w:cs="仿宋"/>
          <w:bCs/>
          <w:color w:val="000000" w:themeColor="text1"/>
          <w:kern w:val="0"/>
          <w:sz w:val="32"/>
          <w:szCs w:val="32"/>
          <w14:textFill>
            <w14:solidFill>
              <w14:schemeClr w14:val="tx1"/>
            </w14:solidFill>
          </w14:textFill>
        </w:rPr>
        <w:t>精神和《</w:t>
      </w:r>
      <w:r>
        <w:rPr>
          <w:rFonts w:hint="eastAsia" w:ascii="仿宋" w:hAnsi="仿宋" w:eastAsia="仿宋" w:cs="仿宋"/>
          <w:color w:val="000000" w:themeColor="text1"/>
          <w:kern w:val="0"/>
          <w:sz w:val="32"/>
          <w:szCs w:val="32"/>
          <w14:textFill>
            <w14:solidFill>
              <w14:schemeClr w14:val="tx1"/>
            </w14:solidFill>
          </w14:textFill>
        </w:rPr>
        <w:t>福州市政府购买社会工作服务的实施办法》（榕财社〔2021〕84 号），结合福州发</w:t>
      </w:r>
      <w:r>
        <w:rPr>
          <w:rFonts w:hint="eastAsia" w:ascii="仿宋" w:hAnsi="仿宋" w:eastAsia="仿宋" w:cs="仿宋"/>
          <w:bCs/>
          <w:color w:val="000000" w:themeColor="text1"/>
          <w:kern w:val="0"/>
          <w:sz w:val="32"/>
          <w:szCs w:val="32"/>
          <w14:textFill>
            <w14:solidFill>
              <w14:schemeClr w14:val="tx1"/>
            </w14:solidFill>
          </w14:textFill>
        </w:rPr>
        <w:t>展实际，制定本操作规程。</w:t>
      </w:r>
    </w:p>
    <w:p>
      <w:pPr>
        <w:widowControl/>
        <w:shd w:val="clear" w:color="auto" w:fill="FFFFFF"/>
        <w:adjustRightInd w:val="0"/>
        <w:snapToGrid w:val="0"/>
        <w:spacing w:line="360" w:lineRule="auto"/>
        <w:ind w:firstLine="642"/>
        <w:jc w:val="left"/>
        <w:rPr>
          <w:rFonts w:ascii="仿宋" w:hAnsi="仿宋" w:eastAsia="仿宋" w:cs="仿宋"/>
          <w:bCs/>
          <w:color w:val="000000" w:themeColor="text1"/>
          <w:kern w:val="0"/>
          <w:sz w:val="32"/>
          <w:szCs w:val="32"/>
          <w14:textFill>
            <w14:solidFill>
              <w14:schemeClr w14:val="tx1"/>
            </w14:solidFill>
          </w14:textFill>
        </w:rPr>
      </w:pPr>
    </w:p>
    <w:p>
      <w:pPr>
        <w:adjustRightInd w:val="0"/>
        <w:snapToGrid w:val="0"/>
        <w:spacing w:line="360" w:lineRule="auto"/>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第二章 购买主体和承接主体</w:t>
      </w:r>
    </w:p>
    <w:p>
      <w:pPr>
        <w:adjustRightInd w:val="0"/>
        <w:snapToGrid w:val="0"/>
        <w:spacing w:line="360" w:lineRule="auto"/>
        <w:jc w:val="center"/>
        <w:rPr>
          <w:rFonts w:ascii="黑体" w:hAnsi="黑体" w:eastAsia="黑体" w:cs="黑体"/>
          <w:color w:val="000000" w:themeColor="text1"/>
          <w:kern w:val="0"/>
          <w:sz w:val="32"/>
          <w:szCs w:val="32"/>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第二条 </w:t>
      </w:r>
      <w:r>
        <w:rPr>
          <w:rFonts w:hint="eastAsia" w:ascii="仿宋" w:hAnsi="仿宋" w:eastAsia="仿宋" w:cs="仿宋"/>
          <w:color w:val="000000" w:themeColor="text1"/>
          <w:kern w:val="0"/>
          <w:sz w:val="32"/>
          <w:szCs w:val="32"/>
          <w14:textFill>
            <w14:solidFill>
              <w14:schemeClr w14:val="tx1"/>
            </w14:solidFill>
          </w14:textFill>
        </w:rPr>
        <w:t>购买主体是</w:t>
      </w:r>
      <w:r>
        <w:rPr>
          <w:rFonts w:hint="eastAsia" w:ascii="仿宋" w:hAnsi="仿宋" w:eastAsia="仿宋" w:cs="仿宋"/>
          <w:color w:val="000000" w:themeColor="text1"/>
          <w:kern w:val="0"/>
          <w:sz w:val="32"/>
          <w:szCs w:val="32"/>
          <w:lang w:val="en-US" w:eastAsia="zh-CN"/>
          <w14:textFill>
            <w14:solidFill>
              <w14:schemeClr w14:val="tx1"/>
            </w14:solidFill>
          </w14:textFill>
        </w:rPr>
        <w:t>市、区（县）各级民政系统的</w:t>
      </w:r>
      <w:r>
        <w:rPr>
          <w:rFonts w:hint="eastAsia" w:ascii="仿宋" w:hAnsi="仿宋" w:eastAsia="仿宋" w:cs="仿宋"/>
          <w:color w:val="000000" w:themeColor="text1"/>
          <w:kern w:val="0"/>
          <w:sz w:val="32"/>
          <w:szCs w:val="32"/>
          <w14:textFill>
            <w14:solidFill>
              <w14:schemeClr w14:val="tx1"/>
            </w14:solidFill>
          </w14:textFill>
        </w:rPr>
        <w:t>行政机关和参照公务员法管理且具有行政管理职能的事业单位，</w:t>
      </w:r>
      <w:r>
        <w:rPr>
          <w:rFonts w:hint="eastAsia" w:ascii="仿宋" w:hAnsi="仿宋" w:eastAsia="仿宋" w:cs="仿宋"/>
          <w:color w:val="000000" w:themeColor="text1"/>
          <w:kern w:val="0"/>
          <w:sz w:val="32"/>
          <w:szCs w:val="32"/>
          <w:lang w:val="en-US" w:eastAsia="zh-CN"/>
          <w14:textFill>
            <w14:solidFill>
              <w14:schemeClr w14:val="tx1"/>
            </w14:solidFill>
          </w14:textFill>
        </w:rPr>
        <w:t>以及乡镇人民政府和街道办事处。基层群众自治组织可根据需要和规定自行组织采购社会工作服务，但不作为政府购买社会工作服务的购买主体。</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3"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第三条 </w:t>
      </w:r>
      <w:r>
        <w:rPr>
          <w:rFonts w:hint="eastAsia" w:ascii="仿宋" w:hAnsi="仿宋" w:eastAsia="仿宋" w:cs="仿宋"/>
          <w:color w:val="000000" w:themeColor="text1"/>
          <w:sz w:val="32"/>
          <w:szCs w:val="32"/>
          <w14:textFill>
            <w14:solidFill>
              <w14:schemeClr w14:val="tx1"/>
            </w14:solidFill>
          </w14:textFill>
        </w:rPr>
        <w:t>承接主体主要是</w:t>
      </w:r>
      <w:r>
        <w:rPr>
          <w:rFonts w:hint="eastAsia" w:ascii="仿宋" w:hAnsi="仿宋" w:eastAsia="仿宋" w:cs="宋体"/>
          <w:color w:val="000000" w:themeColor="text1"/>
          <w:kern w:val="0"/>
          <w:sz w:val="32"/>
          <w:szCs w:val="32"/>
          <w14:textFill>
            <w14:solidFill>
              <w14:schemeClr w14:val="tx1"/>
            </w14:solidFill>
          </w14:textFill>
        </w:rPr>
        <w:t>具有独立法人资格，拥有一支能够熟练掌握和灵活运用社会工作知识、方法和技能的专业团队，具备完善的内部治理结构、健全的规章制度、良好的社会公信力以及较强的公益项目运营管理和社会工作专业服务能力的社会团体、</w:t>
      </w:r>
      <w:r>
        <w:rPr>
          <w:rFonts w:hint="eastAsia" w:ascii="仿宋" w:hAnsi="仿宋" w:eastAsia="仿宋" w:cs="宋体"/>
          <w:color w:val="000000" w:themeColor="text1"/>
          <w:kern w:val="0"/>
          <w:sz w:val="32"/>
          <w:szCs w:val="32"/>
          <w:lang w:val="en-US" w:eastAsia="zh-CN"/>
          <w14:textFill>
            <w14:solidFill>
              <w14:schemeClr w14:val="tx1"/>
            </w14:solidFill>
          </w14:textFill>
        </w:rPr>
        <w:t>社会服务机构</w:t>
      </w:r>
      <w:r>
        <w:rPr>
          <w:rFonts w:hint="eastAsia" w:ascii="仿宋" w:hAnsi="仿宋" w:eastAsia="仿宋" w:cs="宋体"/>
          <w:color w:val="000000" w:themeColor="text1"/>
          <w:kern w:val="0"/>
          <w:sz w:val="32"/>
          <w:szCs w:val="32"/>
          <w14:textFill>
            <w14:solidFill>
              <w14:schemeClr w14:val="tx1"/>
            </w14:solidFill>
          </w14:textFill>
        </w:rPr>
        <w:t>、基金会以及符合条件的企事业单位。</w:t>
      </w:r>
    </w:p>
    <w:p>
      <w:pPr>
        <w:pStyle w:val="8"/>
        <w:widowControl/>
        <w:adjustRightInd w:val="0"/>
        <w:snapToGrid w:val="0"/>
        <w:spacing w:beforeAutospacing="0" w:afterAutospacing="0" w:line="360" w:lineRule="auto"/>
        <w:ind w:firstLine="640" w:firstLineChars="200"/>
        <w:rPr>
          <w:rFonts w:ascii="仿宋" w:hAnsi="仿宋" w:eastAsia="仿宋" w:cs="仿宋"/>
          <w:color w:val="000000" w:themeColor="text1"/>
          <w:sz w:val="32"/>
          <w:szCs w:val="32"/>
          <w14:textFill>
            <w14:solidFill>
              <w14:schemeClr w14:val="tx1"/>
            </w14:solidFill>
          </w14:textFill>
        </w:rPr>
      </w:pPr>
    </w:p>
    <w:p>
      <w:pPr>
        <w:adjustRightInd w:val="0"/>
        <w:snapToGrid w:val="0"/>
        <w:spacing w:line="360" w:lineRule="auto"/>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第三章 操作规程</w:t>
      </w:r>
    </w:p>
    <w:p>
      <w:pPr>
        <w:adjustRightInd w:val="0"/>
        <w:snapToGrid w:val="0"/>
        <w:spacing w:line="360" w:lineRule="auto"/>
        <w:jc w:val="center"/>
        <w:rPr>
          <w:rFonts w:ascii="黑体" w:hAnsi="黑体" w:eastAsia="黑体" w:cs="黑体"/>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left"/>
        <w:textAlignment w:val="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第四条</w:t>
      </w:r>
      <w:r>
        <w:rPr>
          <w:rFonts w:hint="eastAsia" w:ascii="仿宋" w:hAnsi="仿宋" w:eastAsia="仿宋" w:cs="仿宋"/>
          <w:bCs/>
          <w:color w:val="000000" w:themeColor="text1"/>
          <w:sz w:val="32"/>
          <w:szCs w:val="32"/>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福州市民政领域政府</w:t>
      </w:r>
      <w:r>
        <w:rPr>
          <w:rFonts w:hint="eastAsia" w:ascii="仿宋" w:hAnsi="仿宋" w:eastAsia="仿宋" w:cs="仿宋"/>
          <w:bCs/>
          <w:color w:val="000000" w:themeColor="text1"/>
          <w:sz w:val="32"/>
          <w:szCs w:val="32"/>
          <w14:textFill>
            <w14:solidFill>
              <w14:schemeClr w14:val="tx1"/>
            </w14:solidFill>
          </w14:textFill>
        </w:rPr>
        <w:t>购买社会工作服务项目的一般操作程序是</w:t>
      </w:r>
      <w:r>
        <w:rPr>
          <w:rFonts w:hint="eastAsia" w:ascii="仿宋" w:hAnsi="仿宋" w:eastAsia="仿宋" w:cs="仿宋"/>
          <w:color w:val="000000" w:themeColor="text1"/>
          <w:kern w:val="0"/>
          <w:sz w:val="32"/>
          <w:szCs w:val="32"/>
          <w14:textFill>
            <w14:solidFill>
              <w14:schemeClr w14:val="tx1"/>
            </w14:solidFill>
          </w14:textFill>
        </w:rPr>
        <w:t>申报需求和预算、财政核准</w:t>
      </w:r>
      <w:r>
        <w:rPr>
          <w:rFonts w:hint="eastAsia" w:ascii="仿宋" w:hAnsi="仿宋" w:eastAsia="仿宋" w:cs="仿宋"/>
          <w:color w:val="000000" w:themeColor="text1"/>
          <w:sz w:val="32"/>
          <w:szCs w:val="32"/>
          <w14:textFill>
            <w14:solidFill>
              <w14:schemeClr w14:val="tx1"/>
            </w14:solidFill>
          </w14:textFill>
        </w:rPr>
        <w:t>、实施采购、签订合同、资金拨付、合同履行、监管与评估、履约验收、合同延续。</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（一）申报需求和预算</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1.编制项目经费预算</w:t>
      </w:r>
    </w:p>
    <w:p>
      <w:pPr>
        <w:keepNext w:val="0"/>
        <w:keepLines w:val="0"/>
        <w:pageBreakBefore w:val="0"/>
        <w:widowControl/>
        <w:kinsoku/>
        <w:wordWrap/>
        <w:overflowPunct/>
        <w:topLinePunct w:val="0"/>
        <w:autoSpaceDE/>
        <w:autoSpaceDN/>
        <w:bidi w:val="0"/>
        <w:adjustRightInd w:val="0"/>
        <w:snapToGrid w:val="0"/>
        <w:spacing w:line="360" w:lineRule="auto"/>
        <w:ind w:firstLine="716"/>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购买主体结合履职需要和公众需求等情况，设计购买的社会工作服务内容（包括项目名称、服务范围、服务内容、服务期限、预期目标和绩效指标等），科学合理测算经费规模，项目经费预算主要包括</w:t>
      </w:r>
      <w:r>
        <w:rPr>
          <w:rFonts w:hint="eastAsia" w:ascii="仿宋" w:hAnsi="仿宋" w:eastAsia="仿宋" w:cs="仿宋"/>
          <w:color w:val="000000" w:themeColor="text1"/>
          <w:kern w:val="0"/>
          <w:sz w:val="32"/>
          <w:szCs w:val="32"/>
          <w:lang w:eastAsia="zh-CN"/>
          <w14:textFill>
            <w14:solidFill>
              <w14:schemeClr w14:val="tx1"/>
            </w14:solidFill>
          </w14:textFill>
        </w:rPr>
        <w:t>社会服务支出（含为受益对象服务的社工人力成本、服务活动支出）</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项目执行费用（含</w:t>
      </w:r>
      <w:r>
        <w:rPr>
          <w:rFonts w:hint="eastAsia" w:ascii="仿宋" w:hAnsi="仿宋" w:eastAsia="仿宋" w:cs="仿宋"/>
          <w:color w:val="000000" w:themeColor="text1"/>
          <w:kern w:val="0"/>
          <w:sz w:val="32"/>
          <w:szCs w:val="32"/>
          <w14:textFill>
            <w14:solidFill>
              <w14:schemeClr w14:val="tx1"/>
            </w14:solidFill>
          </w14:textFill>
        </w:rPr>
        <w:t>行政、兼职会计、办公用品费用、办公场地租</w:t>
      </w:r>
      <w:r>
        <w:rPr>
          <w:rFonts w:hint="eastAsia" w:ascii="仿宋" w:hAnsi="仿宋" w:eastAsia="仿宋" w:cs="仿宋"/>
          <w:color w:val="000000" w:themeColor="text1"/>
          <w:kern w:val="0"/>
          <w:sz w:val="32"/>
          <w:szCs w:val="32"/>
          <w:highlight w:val="none"/>
          <w14:textFill>
            <w14:solidFill>
              <w14:schemeClr w14:val="tx1"/>
            </w14:solidFill>
          </w14:textFill>
        </w:rPr>
        <w:t>费、招标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代理</w:t>
      </w:r>
      <w:r>
        <w:rPr>
          <w:rFonts w:hint="eastAsia" w:ascii="仿宋" w:hAnsi="仿宋" w:eastAsia="仿宋" w:cs="仿宋"/>
          <w:color w:val="000000" w:themeColor="text1"/>
          <w:kern w:val="0"/>
          <w:sz w:val="32"/>
          <w:szCs w:val="32"/>
          <w:highlight w:val="none"/>
          <w14:textFill>
            <w14:solidFill>
              <w14:schemeClr w14:val="tx1"/>
            </w14:solidFill>
          </w14:textFill>
        </w:rPr>
        <w:t>费</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残保金</w:t>
      </w:r>
      <w:r>
        <w:rPr>
          <w:rFonts w:hint="eastAsia" w:ascii="仿宋" w:hAnsi="仿宋" w:eastAsia="仿宋" w:cs="仿宋"/>
          <w:color w:val="000000" w:themeColor="text1"/>
          <w:kern w:val="0"/>
          <w:sz w:val="32"/>
          <w:szCs w:val="32"/>
          <w:highlight w:val="none"/>
          <w14:textFill>
            <w14:solidFill>
              <w14:schemeClr w14:val="tx1"/>
            </w14:solidFill>
          </w14:textFill>
        </w:rPr>
        <w:t>等费</w:t>
      </w:r>
      <w:r>
        <w:rPr>
          <w:rFonts w:hint="eastAsia" w:ascii="仿宋" w:hAnsi="仿宋" w:eastAsia="仿宋" w:cs="仿宋"/>
          <w:color w:val="000000" w:themeColor="text1"/>
          <w:kern w:val="0"/>
          <w:sz w:val="32"/>
          <w:szCs w:val="32"/>
          <w14:textFill>
            <w14:solidFill>
              <w14:schemeClr w14:val="tx1"/>
            </w14:solidFill>
          </w14:textFill>
        </w:rPr>
        <w:t>用</w:t>
      </w:r>
      <w:r>
        <w:rPr>
          <w:rFonts w:hint="eastAsia" w:ascii="仿宋" w:hAnsi="仿宋" w:eastAsia="仿宋" w:cs="仿宋"/>
          <w:color w:val="000000" w:themeColor="text1"/>
          <w:kern w:val="0"/>
          <w:sz w:val="32"/>
          <w:szCs w:val="32"/>
          <w:lang w:eastAsia="zh-CN"/>
          <w14:textFill>
            <w14:solidFill>
              <w14:schemeClr w14:val="tx1"/>
            </w14:solidFill>
          </w14:textFill>
        </w:rPr>
        <w:t>）、项目评估经费</w:t>
      </w:r>
      <w:r>
        <w:rPr>
          <w:rFonts w:hint="eastAsia" w:ascii="仿宋" w:hAnsi="仿宋" w:eastAsia="仿宋" w:cs="仿宋"/>
          <w:color w:val="000000" w:themeColor="text1"/>
          <w:kern w:val="0"/>
          <w:sz w:val="32"/>
          <w:szCs w:val="32"/>
          <w14:textFill>
            <w14:solidFill>
              <w14:schemeClr w14:val="tx1"/>
            </w14:solidFill>
          </w14:textFill>
        </w:rPr>
        <w:t>，具体为：</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1</w:t>
      </w:r>
      <w:r>
        <w:rPr>
          <w:rFonts w:hint="eastAsia" w:ascii="仿宋" w:hAnsi="仿宋" w:eastAsia="仿宋" w:cs="仿宋"/>
          <w:b/>
          <w:color w:val="000000" w:themeColor="text1"/>
          <w:sz w:val="32"/>
          <w:szCs w:val="32"/>
          <w:lang w:eastAsia="zh-CN"/>
          <w14:textFill>
            <w14:solidFill>
              <w14:schemeClr w14:val="tx1"/>
            </w14:solidFill>
          </w14:textFill>
        </w:rPr>
        <w:t>）社会服务支出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32"/>
          <w:szCs w:val="32"/>
          <w14:textFill>
            <w14:solidFill>
              <w14:schemeClr w14:val="tx1"/>
            </w14:solidFill>
          </w14:textFill>
        </w:rPr>
        <w:t>①</w:t>
      </w:r>
      <w:r>
        <w:rPr>
          <w:rFonts w:hint="eastAsia" w:ascii="仿宋" w:hAnsi="仿宋" w:eastAsia="仿宋" w:cs="仿宋"/>
          <w:b/>
          <w:bCs/>
          <w:color w:val="000000" w:themeColor="text1"/>
          <w:kern w:val="0"/>
          <w:sz w:val="32"/>
          <w:szCs w:val="32"/>
          <w:lang w:eastAsia="zh-CN"/>
          <w14:textFill>
            <w14:solidFill>
              <w14:schemeClr w14:val="tx1"/>
            </w14:solidFill>
          </w14:textFill>
        </w:rPr>
        <w:t>为受益对象服务的社工人力成本</w:t>
      </w:r>
      <w:r>
        <w:rPr>
          <w:rFonts w:hint="eastAsia" w:ascii="仿宋" w:hAnsi="仿宋" w:eastAsia="仿宋" w:cs="仿宋"/>
          <w:b/>
          <w:bCs/>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用于支付</w:t>
      </w:r>
      <w:r>
        <w:rPr>
          <w:rFonts w:hint="eastAsia" w:ascii="仿宋" w:hAnsi="仿宋" w:eastAsia="仿宋" w:cs="仿宋"/>
          <w:color w:val="000000" w:themeColor="text1"/>
          <w:kern w:val="0"/>
          <w:sz w:val="32"/>
          <w:szCs w:val="32"/>
          <w:lang w:eastAsia="zh-CN"/>
          <w14:textFill>
            <w14:solidFill>
              <w14:schemeClr w14:val="tx1"/>
            </w14:solidFill>
          </w14:textFill>
        </w:rPr>
        <w:t>项目中</w:t>
      </w:r>
      <w:r>
        <w:rPr>
          <w:rFonts w:hint="eastAsia" w:ascii="仿宋" w:hAnsi="仿宋" w:eastAsia="仿宋" w:cs="仿宋"/>
          <w:b w:val="0"/>
          <w:bCs w:val="0"/>
          <w:color w:val="auto"/>
          <w:kern w:val="0"/>
          <w:sz w:val="32"/>
          <w:szCs w:val="32"/>
          <w:lang w:eastAsia="zh-CN"/>
        </w:rPr>
        <w:t>为受益对象服务的社工（</w:t>
      </w:r>
      <w:r>
        <w:rPr>
          <w:rFonts w:hint="eastAsia" w:ascii="仿宋" w:hAnsi="仿宋" w:eastAsia="仿宋" w:cs="仿宋"/>
          <w:color w:val="000000" w:themeColor="text1"/>
          <w:kern w:val="0"/>
          <w:sz w:val="32"/>
          <w:szCs w:val="32"/>
          <w:lang w:eastAsia="zh-CN"/>
          <w14:textFill>
            <w14:solidFill>
              <w14:schemeClr w14:val="tx1"/>
            </w14:solidFill>
          </w14:textFill>
        </w:rPr>
        <w:t>项目主管、项目社工）</w:t>
      </w:r>
      <w:r>
        <w:rPr>
          <w:rFonts w:hint="eastAsia" w:ascii="仿宋" w:hAnsi="仿宋" w:eastAsia="仿宋" w:cs="仿宋"/>
          <w:color w:val="000000" w:themeColor="text1"/>
          <w:kern w:val="0"/>
          <w:sz w:val="32"/>
          <w:szCs w:val="32"/>
          <w14:textFill>
            <w14:solidFill>
              <w14:schemeClr w14:val="tx1"/>
            </w14:solidFill>
          </w14:textFill>
        </w:rPr>
        <w:t>的薪酬和福利，包括</w:t>
      </w:r>
      <w:r>
        <w:rPr>
          <w:rFonts w:hint="eastAsia" w:ascii="仿宋" w:hAnsi="仿宋" w:eastAsia="仿宋" w:cs="仿宋"/>
          <w:color w:val="000000" w:themeColor="text1"/>
          <w:kern w:val="0"/>
          <w:sz w:val="32"/>
          <w:szCs w:val="32"/>
          <w:lang w:eastAsia="zh-CN"/>
          <w14:textFill>
            <w14:solidFill>
              <w14:schemeClr w14:val="tx1"/>
            </w14:solidFill>
          </w14:textFill>
        </w:rPr>
        <w:t>社工</w:t>
      </w:r>
      <w:r>
        <w:rPr>
          <w:rFonts w:hint="eastAsia" w:ascii="仿宋" w:hAnsi="仿宋" w:eastAsia="仿宋" w:cs="仿宋"/>
          <w:color w:val="000000" w:themeColor="text1"/>
          <w:kern w:val="0"/>
          <w:sz w:val="32"/>
          <w:szCs w:val="32"/>
          <w14:textFill>
            <w14:solidFill>
              <w14:schemeClr w14:val="tx1"/>
            </w14:solidFill>
          </w14:textFill>
        </w:rPr>
        <w:t>的工资、奖金、津贴、补贴、社会保险、住房公积金等，不得超过项目经费的70%。</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微软雅黑" w:hAnsi="微软雅黑" w:eastAsia="微软雅黑" w:cs="微软雅黑"/>
          <w:b/>
          <w:color w:val="000000" w:themeColor="text1"/>
          <w:kern w:val="0"/>
          <w:sz w:val="32"/>
          <w:szCs w:val="32"/>
          <w14:textFill>
            <w14:solidFill>
              <w14:schemeClr w14:val="tx1"/>
            </w14:solidFill>
          </w14:textFill>
        </w:rPr>
        <w:t>②</w:t>
      </w:r>
      <w:r>
        <w:rPr>
          <w:rFonts w:hint="eastAsia" w:ascii="仿宋" w:hAnsi="仿宋" w:eastAsia="仿宋" w:cs="仿宋"/>
          <w:b/>
          <w:color w:val="000000" w:themeColor="text1"/>
          <w:kern w:val="0"/>
          <w:sz w:val="32"/>
          <w:szCs w:val="32"/>
          <w:lang w:eastAsia="zh-CN"/>
          <w14:textFill>
            <w14:solidFill>
              <w14:schemeClr w14:val="tx1"/>
            </w14:solidFill>
          </w14:textFill>
        </w:rPr>
        <w:t>服务活动支出。</w:t>
      </w:r>
      <w:r>
        <w:rPr>
          <w:rFonts w:hint="eastAsia" w:ascii="仿宋" w:hAnsi="仿宋" w:eastAsia="仿宋" w:cs="仿宋"/>
          <w:b w:val="0"/>
          <w:bCs/>
          <w:color w:val="000000" w:themeColor="text1"/>
          <w:kern w:val="0"/>
          <w:sz w:val="32"/>
          <w:szCs w:val="32"/>
          <w:lang w:eastAsia="zh-CN"/>
          <w14:textFill>
            <w14:solidFill>
              <w14:schemeClr w14:val="tx1"/>
            </w14:solidFill>
          </w14:textFill>
        </w:rPr>
        <w:t>具体开展项目活动产生的费用，包含项目前期调研费、具体活动支出</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b w:val="0"/>
          <w:bCs/>
          <w:color w:val="000000" w:themeColor="text1"/>
          <w:kern w:val="0"/>
          <w:sz w:val="32"/>
          <w:szCs w:val="32"/>
          <w14:textFill>
            <w14:solidFill>
              <w14:schemeClr w14:val="tx1"/>
            </w14:solidFill>
          </w14:textFill>
        </w:rPr>
        <w:t>专业督导与项目人员培训经费</w:t>
      </w:r>
      <w:r>
        <w:rPr>
          <w:rFonts w:hint="eastAsia" w:ascii="仿宋" w:hAnsi="仿宋" w:eastAsia="仿宋" w:cs="仿宋"/>
          <w:color w:val="000000" w:themeColor="text1"/>
          <w:kern w:val="0"/>
          <w:sz w:val="32"/>
          <w:szCs w:val="32"/>
          <w:lang w:eastAsia="zh-CN"/>
          <w14:textFill>
            <w14:solidFill>
              <w14:schemeClr w14:val="tx1"/>
            </w14:solidFill>
          </w14:textFill>
        </w:rPr>
        <w:t>等。</w:t>
      </w:r>
    </w:p>
    <w:p>
      <w:pPr>
        <w:keepNext w:val="0"/>
        <w:keepLines w:val="0"/>
        <w:pageBreakBefore w:val="0"/>
        <w:widowControl/>
        <w:kinsoku/>
        <w:wordWrap/>
        <w:overflowPunct/>
        <w:topLinePunct w:val="0"/>
        <w:autoSpaceDE/>
        <w:autoSpaceDN/>
        <w:bidi w:val="0"/>
        <w:adjustRightInd w:val="0"/>
        <w:snapToGrid w:val="0"/>
        <w:spacing w:line="360" w:lineRule="auto"/>
        <w:ind w:firstLine="640"/>
        <w:jc w:val="both"/>
        <w:textAlignment w:val="auto"/>
        <w:rPr>
          <w:rFonts w:hint="default" w:ascii="仿宋" w:hAnsi="仿宋" w:eastAsia="仿宋" w:cs="仿宋"/>
          <w:b w:val="0"/>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val="0"/>
          <w:color w:val="000000" w:themeColor="text1"/>
          <w:kern w:val="0"/>
          <w:sz w:val="32"/>
          <w:szCs w:val="32"/>
          <w:lang w:eastAsia="zh-CN"/>
          <w14:textFill>
            <w14:solidFill>
              <w14:schemeClr w14:val="tx1"/>
            </w14:solidFill>
          </w14:textFill>
        </w:rPr>
        <w:t>项目前期调研费。</w:t>
      </w:r>
      <w:r>
        <w:rPr>
          <w:rFonts w:hint="eastAsia" w:ascii="仿宋" w:hAnsi="仿宋" w:eastAsia="仿宋" w:cs="仿宋"/>
          <w:b w:val="0"/>
          <w:bCs/>
          <w:color w:val="000000" w:themeColor="text1"/>
          <w:kern w:val="0"/>
          <w:sz w:val="32"/>
          <w:szCs w:val="32"/>
          <w:lang w:eastAsia="zh-CN"/>
          <w14:textFill>
            <w14:solidFill>
              <w14:schemeClr w14:val="tx1"/>
            </w14:solidFill>
          </w14:textFill>
        </w:rPr>
        <w:t>为项目开展做的前期需求调研产生的费用。</w:t>
      </w:r>
      <w:r>
        <w:rPr>
          <w:rFonts w:hint="eastAsia" w:ascii="仿宋" w:hAnsi="仿宋" w:eastAsia="仿宋" w:cs="仿宋"/>
          <w:b w:val="0"/>
          <w:bCs/>
          <w:color w:val="000000" w:themeColor="text1"/>
          <w:kern w:val="0"/>
          <w:sz w:val="32"/>
          <w:szCs w:val="32"/>
          <w:highlight w:val="none"/>
          <w:lang w:val="en-US" w:eastAsia="zh-CN"/>
          <w14:textFill>
            <w14:solidFill>
              <w14:schemeClr w14:val="tx1"/>
            </w14:solidFill>
          </w14:textFill>
        </w:rPr>
        <w:t>约占3%；</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kern w:val="0"/>
          <w:sz w:val="32"/>
          <w:szCs w:val="32"/>
          <w:lang w:eastAsia="zh-CN"/>
          <w14:textFill>
            <w14:solidFill>
              <w14:schemeClr w14:val="tx1"/>
            </w14:solidFill>
          </w14:textFill>
        </w:rPr>
        <w:t>具体活动支出。</w:t>
      </w:r>
      <w:r>
        <w:rPr>
          <w:rFonts w:hint="eastAsia" w:ascii="仿宋" w:hAnsi="仿宋" w:eastAsia="仿宋" w:cs="仿宋"/>
          <w:color w:val="000000" w:themeColor="text1"/>
          <w:kern w:val="0"/>
          <w:sz w:val="32"/>
          <w:szCs w:val="32"/>
          <w14:textFill>
            <w14:solidFill>
              <w14:schemeClr w14:val="tx1"/>
            </w14:solidFill>
          </w14:textFill>
        </w:rPr>
        <w:t>在项目服务中开展个案工作、小组工作、社区活动、工作坊等服务所发生的费用，一般包括场地租</w:t>
      </w:r>
      <w:r>
        <w:rPr>
          <w:rFonts w:hint="eastAsia" w:ascii="仿宋" w:hAnsi="仿宋" w:eastAsia="仿宋" w:cs="仿宋"/>
          <w:color w:val="000000" w:themeColor="text1"/>
          <w:kern w:val="0"/>
          <w:sz w:val="32"/>
          <w:szCs w:val="32"/>
          <w:lang w:val="en-US" w:eastAsia="zh-CN"/>
          <w14:textFill>
            <w14:solidFill>
              <w14:schemeClr w14:val="tx1"/>
            </w14:solidFill>
          </w14:textFill>
        </w:rPr>
        <w:t>赁</w:t>
      </w:r>
      <w:r>
        <w:rPr>
          <w:rFonts w:hint="eastAsia" w:ascii="仿宋" w:hAnsi="仿宋" w:eastAsia="仿宋" w:cs="仿宋"/>
          <w:color w:val="000000" w:themeColor="text1"/>
          <w:kern w:val="0"/>
          <w:sz w:val="32"/>
          <w:szCs w:val="32"/>
          <w14:textFill>
            <w14:solidFill>
              <w14:schemeClr w14:val="tx1"/>
            </w14:solidFill>
          </w14:textFill>
        </w:rPr>
        <w:t>费、活动</w:t>
      </w:r>
      <w:r>
        <w:rPr>
          <w:rFonts w:hint="eastAsia" w:ascii="仿宋" w:hAnsi="仿宋" w:eastAsia="仿宋" w:cs="仿宋"/>
          <w:color w:val="000000" w:themeColor="text1"/>
          <w:kern w:val="0"/>
          <w:sz w:val="32"/>
          <w:szCs w:val="32"/>
          <w:lang w:eastAsia="zh-CN"/>
          <w14:textFill>
            <w14:solidFill>
              <w14:schemeClr w14:val="tx1"/>
            </w14:solidFill>
          </w14:textFill>
        </w:rPr>
        <w:t>物</w:t>
      </w:r>
      <w:r>
        <w:rPr>
          <w:rFonts w:hint="eastAsia" w:ascii="仿宋" w:hAnsi="仿宋" w:eastAsia="仿宋" w:cs="仿宋"/>
          <w:color w:val="000000" w:themeColor="text1"/>
          <w:kern w:val="0"/>
          <w:sz w:val="32"/>
          <w:szCs w:val="32"/>
          <w14:textFill>
            <w14:solidFill>
              <w14:schemeClr w14:val="tx1"/>
            </w14:solidFill>
          </w14:textFill>
        </w:rPr>
        <w:t>料费</w:t>
      </w:r>
      <w:r>
        <w:rPr>
          <w:rFonts w:hint="eastAsia" w:ascii="仿宋" w:hAnsi="仿宋" w:eastAsia="仿宋" w:cs="仿宋"/>
          <w:color w:val="000000" w:themeColor="text1"/>
          <w:kern w:val="0"/>
          <w:sz w:val="32"/>
          <w:szCs w:val="32"/>
          <w:lang w:eastAsia="zh-CN"/>
          <w14:textFill>
            <w14:solidFill>
              <w14:schemeClr w14:val="tx1"/>
            </w14:solidFill>
          </w14:textFill>
        </w:rPr>
        <w:t>、志愿者补贴、</w:t>
      </w:r>
      <w:r>
        <w:rPr>
          <w:rFonts w:hint="eastAsia" w:ascii="仿宋" w:hAnsi="仿宋" w:eastAsia="仿宋" w:cs="仿宋"/>
          <w:color w:val="000000" w:themeColor="text1"/>
          <w:kern w:val="0"/>
          <w:sz w:val="32"/>
          <w:szCs w:val="32"/>
          <w14:textFill>
            <w14:solidFill>
              <w14:schemeClr w14:val="tx1"/>
            </w14:solidFill>
          </w14:textFill>
        </w:rPr>
        <w:t>交通费</w:t>
      </w:r>
      <w:r>
        <w:rPr>
          <w:rFonts w:hint="eastAsia" w:ascii="仿宋" w:hAnsi="仿宋" w:eastAsia="仿宋" w:cs="仿宋"/>
          <w:color w:val="000000" w:themeColor="text1"/>
          <w:kern w:val="0"/>
          <w:sz w:val="32"/>
          <w:szCs w:val="32"/>
          <w:lang w:eastAsia="zh-CN"/>
          <w14:textFill>
            <w14:solidFill>
              <w14:schemeClr w14:val="tx1"/>
            </w14:solidFill>
          </w14:textFill>
        </w:rPr>
        <w:t>、专家讲课费等。</w:t>
      </w:r>
      <w:r>
        <w:rPr>
          <w:rFonts w:hint="eastAsia" w:ascii="仿宋" w:hAnsi="仿宋" w:eastAsia="仿宋" w:cs="仿宋"/>
          <w:color w:val="000000" w:themeColor="text1"/>
          <w:kern w:val="0"/>
          <w:sz w:val="32"/>
          <w:szCs w:val="32"/>
          <w14:textFill>
            <w14:solidFill>
              <w14:schemeClr w14:val="tx1"/>
            </w14:solidFill>
          </w14:textFill>
        </w:rPr>
        <w:t>约占项目经费的12%-15%</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64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专业督导与项目人员培训经费。</w:t>
      </w:r>
      <w:r>
        <w:rPr>
          <w:rFonts w:hint="eastAsia" w:ascii="仿宋" w:hAnsi="仿宋" w:eastAsia="仿宋" w:cs="仿宋"/>
          <w:b w:val="0"/>
          <w:bCs/>
          <w:color w:val="000000" w:themeColor="text1"/>
          <w:kern w:val="0"/>
          <w:sz w:val="32"/>
          <w:szCs w:val="32"/>
          <w:lang w:eastAsia="zh-CN"/>
          <w14:textFill>
            <w14:solidFill>
              <w14:schemeClr w14:val="tx1"/>
            </w14:solidFill>
          </w14:textFill>
        </w:rPr>
        <w:t>一是</w:t>
      </w:r>
      <w:r>
        <w:rPr>
          <w:rFonts w:hint="eastAsia" w:ascii="仿宋" w:hAnsi="仿宋" w:eastAsia="仿宋" w:cs="仿宋"/>
          <w:color w:val="000000" w:themeColor="text1"/>
          <w:kern w:val="0"/>
          <w:sz w:val="32"/>
          <w:szCs w:val="32"/>
          <w14:textFill>
            <w14:solidFill>
              <w14:schemeClr w14:val="tx1"/>
            </w14:solidFill>
          </w14:textFill>
        </w:rPr>
        <w:t>用于聘请具有社会工作专业督导能力的人员</w:t>
      </w:r>
      <w:r>
        <w:rPr>
          <w:rFonts w:hint="eastAsia" w:ascii="仿宋" w:hAnsi="仿宋" w:eastAsia="仿宋" w:cs="仿宋"/>
          <w:color w:val="000000" w:themeColor="text1"/>
          <w:kern w:val="0"/>
          <w:sz w:val="32"/>
          <w:szCs w:val="32"/>
          <w:lang w:eastAsia="zh-CN"/>
          <w14:textFill>
            <w14:solidFill>
              <w14:schemeClr w14:val="tx1"/>
            </w14:solidFill>
          </w14:textFill>
        </w:rPr>
        <w:t>，对项目执行过程中的项目运作规范性</w:t>
      </w:r>
      <w:r>
        <w:rPr>
          <w:rFonts w:hint="eastAsia" w:ascii="仿宋" w:hAnsi="仿宋" w:eastAsia="仿宋" w:cs="仿宋"/>
          <w:color w:val="000000" w:themeColor="text1"/>
          <w:kern w:val="0"/>
          <w:sz w:val="32"/>
          <w:szCs w:val="32"/>
          <w14:textFill>
            <w14:solidFill>
              <w14:schemeClr w14:val="tx1"/>
            </w14:solidFill>
          </w14:textFill>
        </w:rPr>
        <w:t>开展专业督导服务</w:t>
      </w:r>
      <w:r>
        <w:rPr>
          <w:rFonts w:hint="eastAsia" w:ascii="仿宋" w:hAnsi="仿宋" w:eastAsia="仿宋" w:cs="仿宋"/>
          <w:color w:val="000000" w:themeColor="text1"/>
          <w:kern w:val="0"/>
          <w:sz w:val="32"/>
          <w:szCs w:val="32"/>
          <w:lang w:eastAsia="zh-CN"/>
          <w14:textFill>
            <w14:solidFill>
              <w14:schemeClr w14:val="tx1"/>
            </w14:solidFill>
          </w14:textFill>
        </w:rPr>
        <w:t>。二是</w:t>
      </w:r>
      <w:r>
        <w:rPr>
          <w:rFonts w:hint="eastAsia" w:ascii="仿宋" w:hAnsi="仿宋" w:eastAsia="仿宋" w:cs="仿宋"/>
          <w:b w:val="0"/>
          <w:bCs/>
          <w:color w:val="000000" w:themeColor="text1"/>
          <w:kern w:val="0"/>
          <w:sz w:val="32"/>
          <w:szCs w:val="32"/>
          <w:lang w:eastAsia="zh-CN"/>
          <w14:textFill>
            <w14:solidFill>
              <w14:schemeClr w14:val="tx1"/>
            </w14:solidFill>
          </w14:textFill>
        </w:rPr>
        <w:t>用于</w:t>
      </w:r>
      <w:r>
        <w:rPr>
          <w:rFonts w:hint="eastAsia" w:ascii="仿宋" w:hAnsi="仿宋" w:eastAsia="仿宋" w:cs="仿宋"/>
          <w:color w:val="000000" w:themeColor="text1"/>
          <w:kern w:val="0"/>
          <w:sz w:val="32"/>
          <w:szCs w:val="32"/>
          <w14:textFill>
            <w14:solidFill>
              <w14:schemeClr w14:val="tx1"/>
            </w14:solidFill>
          </w14:textFill>
        </w:rPr>
        <w:t>支付项目工作人员参加与项目开展有关的各类培训所需费用，提升项目工作人员的专业水平以及服务能力</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约占项目经费的6%-8%，其中项目专业督导费不少于3%</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en-US" w:eastAsia="zh-CN"/>
          <w14:textFill>
            <w14:solidFill>
              <w14:schemeClr w14:val="tx1"/>
            </w14:solidFill>
          </w14:textFill>
        </w:rPr>
        <w:t>2</w:t>
      </w:r>
      <w:r>
        <w:rPr>
          <w:rFonts w:hint="eastAsia" w:ascii="仿宋" w:hAnsi="仿宋" w:eastAsia="仿宋" w:cs="仿宋"/>
          <w:b/>
          <w:color w:val="000000" w:themeColor="text1"/>
          <w:kern w:val="0"/>
          <w:sz w:val="32"/>
          <w:szCs w:val="32"/>
          <w14:textFill>
            <w14:solidFill>
              <w14:schemeClr w14:val="tx1"/>
            </w14:solidFill>
          </w14:textFill>
        </w:rPr>
        <w:t>）项目</w:t>
      </w:r>
      <w:r>
        <w:rPr>
          <w:rFonts w:hint="eastAsia" w:ascii="仿宋" w:hAnsi="仿宋" w:eastAsia="仿宋" w:cs="仿宋"/>
          <w:b/>
          <w:color w:val="000000" w:themeColor="text1"/>
          <w:kern w:val="0"/>
          <w:sz w:val="32"/>
          <w:szCs w:val="32"/>
          <w:lang w:eastAsia="zh-CN"/>
          <w14:textFill>
            <w14:solidFill>
              <w14:schemeClr w14:val="tx1"/>
            </w14:solidFill>
          </w14:textFill>
        </w:rPr>
        <w:t>执行</w:t>
      </w:r>
      <w:r>
        <w:rPr>
          <w:rFonts w:hint="eastAsia" w:ascii="仿宋" w:hAnsi="仿宋" w:eastAsia="仿宋" w:cs="仿宋"/>
          <w:b/>
          <w:color w:val="000000" w:themeColor="text1"/>
          <w:kern w:val="0"/>
          <w:sz w:val="32"/>
          <w:szCs w:val="32"/>
          <w14:textFill>
            <w14:solidFill>
              <w14:schemeClr w14:val="tx1"/>
            </w14:solidFill>
          </w14:textFill>
        </w:rPr>
        <w:t>经费。</w:t>
      </w:r>
      <w:r>
        <w:rPr>
          <w:rFonts w:hint="eastAsia" w:ascii="仿宋" w:hAnsi="仿宋" w:eastAsia="仿宋" w:cs="仿宋"/>
          <w:color w:val="000000" w:themeColor="text1"/>
          <w:kern w:val="0"/>
          <w:sz w:val="32"/>
          <w:szCs w:val="32"/>
          <w14:textFill>
            <w14:solidFill>
              <w14:schemeClr w14:val="tx1"/>
            </w14:solidFill>
          </w14:textFill>
        </w:rPr>
        <w:t>包括</w:t>
      </w:r>
      <w:r>
        <w:rPr>
          <w:rFonts w:hint="eastAsia" w:ascii="仿宋" w:hAnsi="仿宋" w:eastAsia="仿宋" w:cs="仿宋"/>
          <w:color w:val="000000" w:themeColor="text1"/>
          <w:kern w:val="0"/>
          <w:sz w:val="32"/>
          <w:szCs w:val="32"/>
          <w:lang w:eastAsia="zh-CN"/>
          <w14:textFill>
            <w14:solidFill>
              <w14:schemeClr w14:val="tx1"/>
            </w14:solidFill>
          </w14:textFill>
        </w:rPr>
        <w:t>项目开展过程中，项目执行</w:t>
      </w:r>
      <w:r>
        <w:rPr>
          <w:rFonts w:hint="eastAsia" w:ascii="仿宋" w:hAnsi="仿宋" w:eastAsia="仿宋" w:cs="仿宋"/>
          <w:color w:val="000000" w:themeColor="text1"/>
          <w:kern w:val="0"/>
          <w:sz w:val="32"/>
          <w:szCs w:val="32"/>
          <w14:textFill>
            <w14:solidFill>
              <w14:schemeClr w14:val="tx1"/>
            </w14:solidFill>
          </w14:textFill>
        </w:rPr>
        <w:t>机构管理产生的费用如：行政、</w:t>
      </w:r>
      <w:r>
        <w:rPr>
          <w:rFonts w:hint="eastAsia" w:ascii="仿宋" w:hAnsi="仿宋" w:eastAsia="仿宋" w:cs="仿宋"/>
          <w:color w:val="000000" w:themeColor="text1"/>
          <w:kern w:val="0"/>
          <w:sz w:val="32"/>
          <w:szCs w:val="32"/>
          <w:lang w:val="en-US" w:eastAsia="zh-CN"/>
          <w14:textFill>
            <w14:solidFill>
              <w14:schemeClr w14:val="tx1"/>
            </w14:solidFill>
          </w14:textFill>
        </w:rPr>
        <w:t>财务</w:t>
      </w:r>
      <w:r>
        <w:rPr>
          <w:rFonts w:hint="eastAsia" w:ascii="仿宋" w:hAnsi="仿宋" w:eastAsia="仿宋" w:cs="仿宋"/>
          <w:color w:val="000000" w:themeColor="text1"/>
          <w:kern w:val="0"/>
          <w:sz w:val="32"/>
          <w:szCs w:val="32"/>
          <w14:textFill>
            <w14:solidFill>
              <w14:schemeClr w14:val="tx1"/>
            </w14:solidFill>
          </w14:textFill>
        </w:rPr>
        <w:t>、办公用品</w:t>
      </w:r>
      <w:r>
        <w:rPr>
          <w:rFonts w:hint="eastAsia" w:ascii="仿宋" w:hAnsi="仿宋" w:eastAsia="仿宋" w:cs="仿宋"/>
          <w:color w:val="000000" w:themeColor="text1"/>
          <w:kern w:val="0"/>
          <w:sz w:val="32"/>
          <w:szCs w:val="32"/>
          <w:highlight w:val="none"/>
          <w14:textFill>
            <w14:solidFill>
              <w14:schemeClr w14:val="tx1"/>
            </w14:solidFill>
          </w14:textFill>
        </w:rPr>
        <w:t>费、办公场地</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租赁</w:t>
      </w:r>
      <w:r>
        <w:rPr>
          <w:rFonts w:hint="eastAsia" w:ascii="仿宋" w:hAnsi="仿宋" w:eastAsia="仿宋" w:cs="仿宋"/>
          <w:color w:val="000000" w:themeColor="text1"/>
          <w:kern w:val="0"/>
          <w:sz w:val="32"/>
          <w:szCs w:val="32"/>
          <w:highlight w:val="none"/>
          <w14:textFill>
            <w14:solidFill>
              <w14:schemeClr w14:val="tx1"/>
            </w14:solidFill>
          </w14:textFill>
        </w:rPr>
        <w:t>费、</w:t>
      </w:r>
      <w:r>
        <w:rPr>
          <w:rFonts w:hint="eastAsia" w:ascii="仿宋" w:hAnsi="仿宋" w:eastAsia="仿宋" w:cs="仿宋"/>
          <w:color w:val="auto"/>
          <w:kern w:val="0"/>
          <w:sz w:val="32"/>
          <w:szCs w:val="32"/>
          <w:highlight w:val="none"/>
        </w:rPr>
        <w:t>招标</w:t>
      </w:r>
      <w:r>
        <w:rPr>
          <w:rFonts w:hint="eastAsia" w:ascii="仿宋" w:hAnsi="仿宋" w:eastAsia="仿宋" w:cs="仿宋"/>
          <w:color w:val="auto"/>
          <w:kern w:val="0"/>
          <w:sz w:val="32"/>
          <w:szCs w:val="32"/>
          <w:highlight w:val="none"/>
          <w:lang w:val="en-US" w:eastAsia="zh-CN"/>
        </w:rPr>
        <w:t>代理</w:t>
      </w:r>
      <w:r>
        <w:rPr>
          <w:rFonts w:hint="eastAsia" w:ascii="仿宋" w:hAnsi="仿宋" w:eastAsia="仿宋" w:cs="仿宋"/>
          <w:color w:val="auto"/>
          <w:kern w:val="0"/>
          <w:sz w:val="32"/>
          <w:szCs w:val="32"/>
          <w:highlight w:val="none"/>
        </w:rPr>
        <w:t>费、</w:t>
      </w:r>
      <w:r>
        <w:rPr>
          <w:rFonts w:hint="eastAsia" w:ascii="仿宋" w:hAnsi="仿宋" w:eastAsia="仿宋" w:cs="仿宋"/>
          <w:color w:val="auto"/>
          <w:kern w:val="0"/>
          <w:sz w:val="32"/>
          <w:szCs w:val="32"/>
          <w:highlight w:val="none"/>
          <w:lang w:eastAsia="zh-CN"/>
        </w:rPr>
        <w:t>税费、</w:t>
      </w:r>
      <w:r>
        <w:rPr>
          <w:rFonts w:hint="eastAsia" w:ascii="仿宋" w:hAnsi="仿宋" w:eastAsia="仿宋" w:cs="仿宋"/>
          <w:color w:val="auto"/>
          <w:kern w:val="0"/>
          <w:sz w:val="32"/>
          <w:szCs w:val="32"/>
          <w:highlight w:val="none"/>
          <w:lang w:val="en-US" w:eastAsia="zh-CN"/>
        </w:rPr>
        <w:t>残保金、</w:t>
      </w:r>
      <w:r>
        <w:rPr>
          <w:rFonts w:hint="eastAsia" w:ascii="仿宋" w:hAnsi="仿宋" w:eastAsia="仿宋" w:cs="仿宋"/>
          <w:color w:val="000000" w:themeColor="text1"/>
          <w:kern w:val="0"/>
          <w:sz w:val="32"/>
          <w:szCs w:val="32"/>
          <w:highlight w:val="none"/>
          <w14:textFill>
            <w14:solidFill>
              <w14:schemeClr w14:val="tx1"/>
            </w14:solidFill>
          </w14:textFill>
        </w:rPr>
        <w:t>合理经费结余等费用</w:t>
      </w:r>
      <w:r>
        <w:rPr>
          <w:rFonts w:hint="eastAsia" w:ascii="仿宋" w:hAnsi="仿宋" w:eastAsia="仿宋" w:cs="仿宋"/>
          <w:color w:val="000000" w:themeColor="text1"/>
          <w:kern w:val="0"/>
          <w:sz w:val="32"/>
          <w:szCs w:val="32"/>
          <w:lang w:eastAsia="zh-CN"/>
          <w14:textFill>
            <w14:solidFill>
              <w14:schemeClr w14:val="tx1"/>
            </w14:solidFill>
          </w14:textFill>
        </w:rPr>
        <w:t>（若非该项目单独产生的执行费用需合理分摊折算）</w:t>
      </w:r>
      <w:r>
        <w:rPr>
          <w:rFonts w:hint="eastAsia" w:ascii="仿宋" w:hAnsi="仿宋" w:eastAsia="仿宋" w:cs="仿宋"/>
          <w:color w:val="000000" w:themeColor="text1"/>
          <w:kern w:val="0"/>
          <w:sz w:val="32"/>
          <w:szCs w:val="32"/>
          <w14:textFill>
            <w14:solidFill>
              <w14:schemeClr w14:val="tx1"/>
            </w14:solidFill>
          </w14:textFill>
        </w:rPr>
        <w:t>，纳入机构统一管理使用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约占项目经费的6%-10%。</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en-US" w:eastAsia="zh-CN"/>
          <w14:textFill>
            <w14:solidFill>
              <w14:schemeClr w14:val="tx1"/>
            </w14:solidFill>
          </w14:textFill>
        </w:rPr>
        <w:t>3</w:t>
      </w:r>
      <w:r>
        <w:rPr>
          <w:rFonts w:hint="eastAsia" w:ascii="仿宋" w:hAnsi="仿宋" w:eastAsia="仿宋" w:cs="仿宋"/>
          <w:b/>
          <w:color w:val="000000" w:themeColor="text1"/>
          <w:kern w:val="0"/>
          <w:sz w:val="32"/>
          <w:szCs w:val="32"/>
          <w14:textFill>
            <w14:solidFill>
              <w14:schemeClr w14:val="tx1"/>
            </w14:solidFill>
          </w14:textFill>
        </w:rPr>
        <w:t>）项目评估经费。</w:t>
      </w:r>
      <w:r>
        <w:rPr>
          <w:rFonts w:hint="eastAsia" w:ascii="仿宋" w:hAnsi="仿宋" w:eastAsia="仿宋" w:cs="仿宋"/>
          <w:color w:val="000000" w:themeColor="text1"/>
          <w:kern w:val="0"/>
          <w:sz w:val="32"/>
          <w:szCs w:val="32"/>
          <w14:textFill>
            <w14:solidFill>
              <w14:schemeClr w14:val="tx1"/>
            </w14:solidFill>
          </w14:textFill>
        </w:rPr>
        <w:t>用于支付对项目实施情况开展评估、财务审计所需费用，就项目服务管理、工作进度、专业性、服务成效等方面进行检验，具体根据相关规定编列。</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以上经费组成的具体比例，经购买主体与承接主体双方共同协商达成一致意见。</w:t>
      </w:r>
      <w:r>
        <w:rPr>
          <w:rFonts w:hint="eastAsia" w:ascii="仿宋" w:hAnsi="仿宋" w:eastAsia="仿宋" w:cs="仿宋"/>
          <w:color w:val="000000" w:themeColor="text1"/>
          <w:sz w:val="32"/>
          <w:szCs w:val="32"/>
          <w:shd w:val="clear" w:color="auto" w:fill="FFFFFF"/>
          <w14:textFill>
            <w14:solidFill>
              <w14:schemeClr w14:val="tx1"/>
            </w14:solidFill>
          </w14:textFill>
        </w:rPr>
        <w:t>可根据项目运作的实际情况</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做</w:t>
      </w:r>
      <w:r>
        <w:rPr>
          <w:rFonts w:hint="eastAsia" w:ascii="仿宋" w:hAnsi="仿宋" w:eastAsia="仿宋" w:cs="仿宋"/>
          <w:color w:val="000000" w:themeColor="text1"/>
          <w:sz w:val="32"/>
          <w:szCs w:val="32"/>
          <w:shd w:val="clear" w:color="auto" w:fill="FFFFFF"/>
          <w14:textFill>
            <w14:solidFill>
              <w14:schemeClr w14:val="tx1"/>
            </w14:solidFill>
          </w14:textFill>
        </w:rPr>
        <w:t>适当调整。</w:t>
      </w:r>
    </w:p>
    <w:p>
      <w:pPr>
        <w:keepNext w:val="0"/>
        <w:keepLines w:val="0"/>
        <w:pageBreakBefore w:val="0"/>
        <w:widowControl/>
        <w:kinsoku/>
        <w:wordWrap/>
        <w:overflowPunct/>
        <w:topLinePunct w:val="0"/>
        <w:autoSpaceDE/>
        <w:autoSpaceDN/>
        <w:bidi w:val="0"/>
        <w:adjustRightInd w:val="0"/>
        <w:snapToGrid w:val="0"/>
        <w:spacing w:line="360" w:lineRule="auto"/>
        <w:ind w:firstLine="72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2.确定项目服务指标</w:t>
      </w:r>
    </w:p>
    <w:p>
      <w:pPr>
        <w:keepNext w:val="0"/>
        <w:keepLines w:val="0"/>
        <w:pageBreakBefore w:val="0"/>
        <w:widowControl/>
        <w:kinsoku/>
        <w:wordWrap/>
        <w:overflowPunct/>
        <w:topLinePunct w:val="0"/>
        <w:autoSpaceDE/>
        <w:autoSpaceDN/>
        <w:bidi w:val="0"/>
        <w:adjustRightInd w:val="0"/>
        <w:snapToGrid w:val="0"/>
        <w:spacing w:line="360" w:lineRule="auto"/>
        <w:ind w:firstLine="64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项目服务量一般包括服务对象探访人次、建档人数、个案工作个数、小组工作次数、社区</w:t>
      </w:r>
      <w:r>
        <w:rPr>
          <w:rFonts w:hint="eastAsia" w:ascii="仿宋" w:hAnsi="仿宋" w:eastAsia="仿宋" w:cs="仿宋"/>
          <w:color w:val="000000" w:themeColor="text1"/>
          <w:kern w:val="0"/>
          <w:sz w:val="32"/>
          <w:szCs w:val="32"/>
          <w:lang w:val="en-US"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次数和其他服务量。应按照项目所配专职社会工作者或项目所需其他专业人员人数来确定项目服务量。项目配备社会工作者或其他专业人员人数原则上以不低于12万元项目资金配备1人为标准。</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（1）1名社会工作者的年均工作时数=[365天-</w:t>
      </w:r>
      <w:r>
        <w:rPr>
          <w:rFonts w:hint="eastAsia" w:ascii="仿宋" w:hAnsi="仿宋" w:eastAsia="仿宋" w:cs="仿宋"/>
          <w:color w:val="000000" w:themeColor="text1"/>
          <w:kern w:val="0"/>
          <w:sz w:val="32"/>
          <w:szCs w:val="32"/>
          <w:lang w:val="en-US" w:eastAsia="zh-CN"/>
          <w14:textFill>
            <w14:solidFill>
              <w14:schemeClr w14:val="tx1"/>
            </w14:solidFill>
          </w14:textFill>
        </w:rPr>
        <w:t>5天</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年休假</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11天（</w:t>
      </w:r>
      <w:r>
        <w:rPr>
          <w:rFonts w:hint="eastAsia" w:ascii="仿宋" w:hAnsi="仿宋" w:eastAsia="仿宋" w:cs="仿宋"/>
          <w:color w:val="000000" w:themeColor="text1"/>
          <w:kern w:val="0"/>
          <w:sz w:val="32"/>
          <w:szCs w:val="32"/>
          <w14:textFill>
            <w14:solidFill>
              <w14:schemeClr w14:val="tx1"/>
            </w14:solidFill>
          </w14:textFill>
        </w:rPr>
        <w:t>国家法定节假日</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-104天（双休日）</w:t>
      </w:r>
      <w:r>
        <w:rPr>
          <w:rFonts w:hint="eastAsia" w:ascii="仿宋" w:hAnsi="仿宋" w:eastAsia="仿宋" w:cs="仿宋"/>
          <w:color w:val="000000" w:themeColor="text1"/>
          <w:kern w:val="0"/>
          <w:sz w:val="32"/>
          <w:szCs w:val="32"/>
          <w14:textFill>
            <w14:solidFill>
              <w14:schemeClr w14:val="tx1"/>
            </w14:solidFill>
          </w14:textFill>
        </w:rPr>
        <w:t>]×8小时/天</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一般不超过</w:t>
      </w:r>
      <w:r>
        <w:rPr>
          <w:rFonts w:hint="eastAsia" w:ascii="仿宋" w:hAnsi="仿宋" w:eastAsia="仿宋" w:cs="仿宋"/>
          <w:color w:val="000000" w:themeColor="text1"/>
          <w:kern w:val="0"/>
          <w:sz w:val="32"/>
          <w:szCs w:val="32"/>
          <w14:textFill>
            <w14:solidFill>
              <w14:schemeClr w14:val="tx1"/>
            </w14:solidFill>
          </w14:textFill>
        </w:rPr>
        <w:t>1960小时</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国家对法定节假日等休假相关标准另有调整的，从其规定；</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（2）项目</w:t>
      </w:r>
      <w:r>
        <w:rPr>
          <w:rFonts w:hint="eastAsia" w:ascii="仿宋" w:hAnsi="仿宋" w:eastAsia="仿宋" w:cs="仿宋"/>
          <w:color w:val="000000" w:themeColor="text1"/>
          <w:kern w:val="0"/>
          <w:sz w:val="32"/>
          <w:szCs w:val="32"/>
          <w:lang w:val="en-US" w:eastAsia="zh-CN"/>
          <w14:textFill>
            <w14:solidFill>
              <w14:schemeClr w14:val="tx1"/>
            </w14:solidFill>
          </w14:textFill>
        </w:rPr>
        <w:t>需</w:t>
      </w:r>
      <w:r>
        <w:rPr>
          <w:rFonts w:hint="eastAsia" w:ascii="仿宋" w:hAnsi="仿宋" w:eastAsia="仿宋" w:cs="仿宋"/>
          <w:color w:val="000000" w:themeColor="text1"/>
          <w:kern w:val="0"/>
          <w:sz w:val="32"/>
          <w:szCs w:val="32"/>
          <w14:textFill>
            <w14:solidFill>
              <w14:schemeClr w14:val="tx1"/>
            </w14:solidFill>
          </w14:textFill>
        </w:rPr>
        <w:t>配社会工作者年总工作时数=项目工作总时数</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（3）项目工作总时数为项目服务总时数及培训、督导、其他行政工作所需时数。项目服务总时数为每项服务时数合计，占项目工作总时数的75%。以下为每项服务时数参考标准（以下时数包含</w:t>
      </w:r>
      <w:r>
        <w:rPr>
          <w:rFonts w:hint="eastAsia" w:ascii="仿宋" w:hAnsi="仿宋" w:eastAsia="仿宋" w:cs="仿宋"/>
          <w:color w:val="000000" w:themeColor="text1"/>
          <w:kern w:val="0"/>
          <w:sz w:val="32"/>
          <w:szCs w:val="32"/>
          <w:lang w:val="en-US" w:eastAsia="zh-CN"/>
          <w14:textFill>
            <w14:solidFill>
              <w14:schemeClr w14:val="tx1"/>
            </w14:solidFill>
          </w14:textFill>
        </w:rPr>
        <w:t>方案</w:t>
      </w:r>
      <w:r>
        <w:rPr>
          <w:rFonts w:hint="eastAsia" w:ascii="仿宋" w:hAnsi="仿宋" w:eastAsia="仿宋" w:cs="仿宋"/>
          <w:color w:val="000000" w:themeColor="text1"/>
          <w:kern w:val="0"/>
          <w:sz w:val="32"/>
          <w:szCs w:val="32"/>
          <w14:textFill>
            <w14:solidFill>
              <w14:schemeClr w14:val="tx1"/>
            </w14:solidFill>
          </w14:textFill>
        </w:rPr>
        <w:t>策划、组织人员、活动安排、交通时间以及相关文档整理等时间）：</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auto"/>
          <w:sz w:val="32"/>
          <w:szCs w:val="32"/>
          <w:highlight w:val="none"/>
        </w:rPr>
      </w:pPr>
      <w:r>
        <w:rPr>
          <w:rFonts w:hint="eastAsia" w:ascii="仿宋" w:hAnsi="仿宋" w:eastAsia="仿宋" w:cs="仿宋"/>
          <w:color w:val="000000" w:themeColor="text1"/>
          <w:kern w:val="0"/>
          <w:sz w:val="32"/>
          <w:szCs w:val="32"/>
          <w14:textFill>
            <w14:solidFill>
              <w14:schemeClr w14:val="tx1"/>
            </w14:solidFill>
          </w14:textFill>
        </w:rPr>
        <w:t>探访：平均4小时/次。探访是指社会工作者</w:t>
      </w:r>
      <w:r>
        <w:rPr>
          <w:rFonts w:hint="eastAsia" w:ascii="仿宋" w:hAnsi="仿宋" w:eastAsia="仿宋" w:cs="仿宋"/>
          <w:color w:val="000000" w:themeColor="text1"/>
          <w:kern w:val="0"/>
          <w:sz w:val="32"/>
          <w:szCs w:val="32"/>
          <w:lang w:val="en-US" w:eastAsia="zh-CN"/>
          <w14:textFill>
            <w14:solidFill>
              <w14:schemeClr w14:val="tx1"/>
            </w14:solidFill>
          </w14:textFill>
        </w:rPr>
        <w:t>直接</w:t>
      </w:r>
      <w:r>
        <w:rPr>
          <w:rFonts w:hint="eastAsia" w:ascii="仿宋" w:hAnsi="仿宋" w:eastAsia="仿宋" w:cs="仿宋"/>
          <w:color w:val="000000" w:themeColor="text1"/>
          <w:kern w:val="0"/>
          <w:sz w:val="32"/>
          <w:szCs w:val="32"/>
          <w14:textFill>
            <w14:solidFill>
              <w14:schemeClr w14:val="tx1"/>
            </w14:solidFill>
          </w14:textFill>
        </w:rPr>
        <w:t>进入</w:t>
      </w:r>
      <w:r>
        <w:rPr>
          <w:rFonts w:hint="eastAsia" w:ascii="仿宋" w:hAnsi="仿宋" w:eastAsia="仿宋" w:cs="仿宋"/>
          <w:color w:val="000000" w:themeColor="text1"/>
          <w:kern w:val="0"/>
          <w:sz w:val="32"/>
          <w:szCs w:val="32"/>
          <w:lang w:val="en-US" w:eastAsia="zh-CN"/>
          <w14:textFill>
            <w14:solidFill>
              <w14:schemeClr w14:val="tx1"/>
            </w14:solidFill>
          </w14:textFill>
        </w:rPr>
        <w:t>服务对象的</w:t>
      </w:r>
      <w:r>
        <w:rPr>
          <w:rFonts w:hint="eastAsia" w:ascii="仿宋" w:hAnsi="仿宋" w:eastAsia="仿宋" w:cs="仿宋"/>
          <w:color w:val="000000" w:themeColor="text1"/>
          <w:kern w:val="0"/>
          <w:sz w:val="32"/>
          <w:szCs w:val="32"/>
          <w14:textFill>
            <w14:solidFill>
              <w14:schemeClr w14:val="tx1"/>
            </w14:solidFill>
          </w14:textFill>
        </w:rPr>
        <w:t>家庭、社区、学校和工作单位，主动接触服务对</w:t>
      </w:r>
      <w:r>
        <w:rPr>
          <w:rFonts w:hint="eastAsia" w:ascii="仿宋" w:hAnsi="仿宋" w:eastAsia="仿宋" w:cs="仿宋"/>
          <w:color w:val="auto"/>
          <w:kern w:val="0"/>
          <w:sz w:val="32"/>
          <w:szCs w:val="32"/>
          <w:highlight w:val="none"/>
        </w:rPr>
        <w:t>象的</w:t>
      </w:r>
      <w:r>
        <w:rPr>
          <w:rFonts w:hint="eastAsia" w:ascii="仿宋" w:hAnsi="仿宋" w:eastAsia="仿宋" w:cs="仿宋"/>
          <w:color w:val="auto"/>
          <w:kern w:val="0"/>
          <w:sz w:val="32"/>
          <w:szCs w:val="32"/>
          <w:highlight w:val="none"/>
          <w:lang w:val="en-US" w:eastAsia="zh-CN"/>
        </w:rPr>
        <w:t>服务</w:t>
      </w:r>
      <w:r>
        <w:rPr>
          <w:rFonts w:hint="eastAsia" w:ascii="仿宋" w:hAnsi="仿宋" w:eastAsia="仿宋" w:cs="仿宋"/>
          <w:color w:val="auto"/>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建档：平均</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小时/人。建档是指收集服务对象个人资料并形成档案的过程。个人资料包括服务对象基本情况、生理、心理和社会方面的情况以及服务需求等。</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个案工作：个案工作分为咨询性个案和辅导性个案。每个咨询性个案跟进1-3次，平均5小时/次，1个</w:t>
      </w:r>
      <w:r>
        <w:rPr>
          <w:rFonts w:hint="eastAsia" w:ascii="仿宋" w:hAnsi="仿宋" w:eastAsia="仿宋" w:cs="仿宋"/>
          <w:color w:val="000000" w:themeColor="text1"/>
          <w:kern w:val="0"/>
          <w:sz w:val="32"/>
          <w:szCs w:val="32"/>
          <w:lang w:val="en-US" w:eastAsia="zh-CN"/>
          <w14:textFill>
            <w14:solidFill>
              <w14:schemeClr w14:val="tx1"/>
            </w14:solidFill>
          </w14:textFill>
        </w:rPr>
        <w:t>完整的</w:t>
      </w:r>
      <w:r>
        <w:rPr>
          <w:rFonts w:hint="eastAsia" w:ascii="仿宋" w:hAnsi="仿宋" w:eastAsia="仿宋" w:cs="仿宋"/>
          <w:color w:val="000000" w:themeColor="text1"/>
          <w:kern w:val="0"/>
          <w:sz w:val="32"/>
          <w:szCs w:val="32"/>
          <w14:textFill>
            <w14:solidFill>
              <w14:schemeClr w14:val="tx1"/>
            </w14:solidFill>
          </w14:textFill>
        </w:rPr>
        <w:t>咨询性个案平均所需时间为15小时；辅导性个案平均跟进6次，平均8小时/次，1个完整</w:t>
      </w:r>
      <w:r>
        <w:rPr>
          <w:rFonts w:hint="eastAsia" w:ascii="仿宋" w:hAnsi="仿宋" w:eastAsia="仿宋" w:cs="仿宋"/>
          <w:color w:val="000000" w:themeColor="text1"/>
          <w:kern w:val="0"/>
          <w:sz w:val="32"/>
          <w:szCs w:val="32"/>
          <w:lang w:val="en-US" w:eastAsia="zh-CN"/>
          <w14:textFill>
            <w14:solidFill>
              <w14:schemeClr w14:val="tx1"/>
            </w14:solidFill>
          </w14:textFill>
        </w:rPr>
        <w:t>的辅导性</w:t>
      </w:r>
      <w:r>
        <w:rPr>
          <w:rFonts w:hint="eastAsia" w:ascii="仿宋" w:hAnsi="仿宋" w:eastAsia="仿宋" w:cs="仿宋"/>
          <w:color w:val="000000" w:themeColor="text1"/>
          <w:kern w:val="0"/>
          <w:sz w:val="32"/>
          <w:szCs w:val="32"/>
          <w14:textFill>
            <w14:solidFill>
              <w14:schemeClr w14:val="tx1"/>
            </w14:solidFill>
          </w14:textFill>
        </w:rPr>
        <w:t>个案平均所需时间为48小时。个案工作是指社会工作者运用专业的知识、方法和技巧，通过专业工作</w:t>
      </w:r>
      <w:r>
        <w:rPr>
          <w:rFonts w:hint="eastAsia" w:ascii="仿宋" w:hAnsi="仿宋" w:eastAsia="仿宋" w:cs="仿宋"/>
          <w:color w:val="000000" w:themeColor="text1"/>
          <w:kern w:val="0"/>
          <w:sz w:val="32"/>
          <w:szCs w:val="32"/>
          <w:lang w:val="en-US" w:eastAsia="zh-CN"/>
          <w14:textFill>
            <w14:solidFill>
              <w14:schemeClr w14:val="tx1"/>
            </w14:solidFill>
          </w14:textFill>
        </w:rPr>
        <w:t>流程</w:t>
      </w:r>
      <w:r>
        <w:rPr>
          <w:rFonts w:hint="eastAsia" w:ascii="仿宋" w:hAnsi="仿宋" w:eastAsia="仿宋" w:cs="仿宋"/>
          <w:color w:val="000000" w:themeColor="text1"/>
          <w:kern w:val="0"/>
          <w:sz w:val="32"/>
          <w:szCs w:val="32"/>
          <w14:textFill>
            <w14:solidFill>
              <w14:schemeClr w14:val="tx1"/>
            </w14:solidFill>
          </w14:textFill>
        </w:rPr>
        <w:t>，帮助</w:t>
      </w:r>
      <w:r>
        <w:rPr>
          <w:rFonts w:hint="eastAsia" w:ascii="仿宋" w:hAnsi="仿宋" w:eastAsia="仿宋" w:cs="仿宋"/>
          <w:color w:val="000000" w:themeColor="text1"/>
          <w:kern w:val="0"/>
          <w:sz w:val="32"/>
          <w:szCs w:val="32"/>
          <w:lang w:val="en-US" w:eastAsia="zh-CN"/>
          <w14:textFill>
            <w14:solidFill>
              <w14:schemeClr w14:val="tx1"/>
            </w14:solidFill>
          </w14:textFill>
        </w:rPr>
        <w:t>有</w:t>
      </w:r>
      <w:r>
        <w:rPr>
          <w:rFonts w:hint="eastAsia" w:ascii="仿宋" w:hAnsi="仿宋" w:eastAsia="仿宋" w:cs="仿宋"/>
          <w:color w:val="000000" w:themeColor="text1"/>
          <w:kern w:val="0"/>
          <w:sz w:val="32"/>
          <w:szCs w:val="32"/>
          <w14:textFill>
            <w14:solidFill>
              <w14:schemeClr w14:val="tx1"/>
            </w14:solidFill>
          </w14:textFill>
        </w:rPr>
        <w:t>困难的个人或家庭发掘和运用自身及其周围的资源，改善个人与社会环境之间的适应状况，促进其正常生活的</w:t>
      </w:r>
      <w:r>
        <w:rPr>
          <w:rFonts w:hint="eastAsia" w:ascii="仿宋" w:hAnsi="仿宋" w:eastAsia="仿宋" w:cs="仿宋"/>
          <w:color w:val="000000" w:themeColor="text1"/>
          <w:kern w:val="0"/>
          <w:sz w:val="32"/>
          <w:szCs w:val="32"/>
          <w:lang w:val="en-US" w:eastAsia="zh-CN"/>
          <w14:textFill>
            <w14:solidFill>
              <w14:schemeClr w14:val="tx1"/>
            </w14:solidFill>
          </w14:textFill>
        </w:rPr>
        <w:t>专业服务</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完整的</w:t>
      </w:r>
      <w:r>
        <w:rPr>
          <w:rFonts w:hint="eastAsia" w:ascii="仿宋" w:hAnsi="仿宋" w:eastAsia="仿宋" w:cs="仿宋"/>
          <w:color w:val="000000" w:themeColor="text1"/>
          <w:kern w:val="0"/>
          <w:sz w:val="32"/>
          <w:szCs w:val="32"/>
          <w14:textFill>
            <w14:solidFill>
              <w14:schemeClr w14:val="tx1"/>
            </w14:solidFill>
          </w14:textFill>
        </w:rPr>
        <w:t>辅导性个案工作包括但不限于接案</w:t>
      </w:r>
      <w:r>
        <w:rPr>
          <w:rFonts w:hint="eastAsia" w:ascii="仿宋" w:hAnsi="仿宋" w:eastAsia="仿宋" w:cs="仿宋"/>
          <w:color w:val="000000" w:themeColor="text1"/>
          <w:kern w:val="0"/>
          <w:sz w:val="32"/>
          <w:szCs w:val="32"/>
          <w:lang w:val="en-US" w:eastAsia="zh-CN"/>
          <w14:textFill>
            <w14:solidFill>
              <w14:schemeClr w14:val="tx1"/>
            </w14:solidFill>
          </w14:textFill>
        </w:rPr>
        <w:t>记录表</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资料收集表、</w:t>
      </w:r>
      <w:r>
        <w:rPr>
          <w:rFonts w:hint="eastAsia" w:ascii="仿宋" w:hAnsi="仿宋" w:eastAsia="仿宋" w:cs="仿宋"/>
          <w:color w:val="000000" w:themeColor="text1"/>
          <w:kern w:val="0"/>
          <w:sz w:val="32"/>
          <w:szCs w:val="32"/>
          <w14:textFill>
            <w14:solidFill>
              <w14:schemeClr w14:val="tx1"/>
            </w14:solidFill>
          </w14:textFill>
        </w:rPr>
        <w:t>预估</w:t>
      </w:r>
      <w:r>
        <w:rPr>
          <w:rFonts w:hint="eastAsia" w:ascii="仿宋" w:hAnsi="仿宋" w:eastAsia="仿宋" w:cs="仿宋"/>
          <w:color w:val="000000" w:themeColor="text1"/>
          <w:kern w:val="0"/>
          <w:sz w:val="32"/>
          <w:szCs w:val="32"/>
          <w:lang w:val="en-US" w:eastAsia="zh-CN"/>
          <w14:textFill>
            <w14:solidFill>
              <w14:schemeClr w14:val="tx1"/>
            </w14:solidFill>
          </w14:textFill>
        </w:rPr>
        <w:t>表</w:t>
      </w:r>
      <w:r>
        <w:rPr>
          <w:rFonts w:hint="eastAsia" w:ascii="仿宋" w:hAnsi="仿宋" w:eastAsia="仿宋" w:cs="仿宋"/>
          <w:color w:val="000000" w:themeColor="text1"/>
          <w:kern w:val="0"/>
          <w:sz w:val="32"/>
          <w:szCs w:val="32"/>
          <w14:textFill>
            <w14:solidFill>
              <w14:schemeClr w14:val="tx1"/>
            </w14:solidFill>
          </w14:textFill>
        </w:rPr>
        <w:t>、服务协议</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服务计划书、</w:t>
      </w:r>
      <w:r>
        <w:rPr>
          <w:rFonts w:hint="eastAsia" w:ascii="仿宋" w:hAnsi="仿宋" w:eastAsia="仿宋" w:cs="仿宋"/>
          <w:color w:val="000000" w:themeColor="text1"/>
          <w:kern w:val="0"/>
          <w:sz w:val="32"/>
          <w:szCs w:val="32"/>
          <w:lang w:val="en-US" w:eastAsia="zh-CN"/>
          <w14:textFill>
            <w14:solidFill>
              <w14:schemeClr w14:val="tx1"/>
            </w14:solidFill>
          </w14:textFill>
        </w:rPr>
        <w:t>过程</w:t>
      </w:r>
      <w:r>
        <w:rPr>
          <w:rFonts w:hint="eastAsia" w:ascii="仿宋" w:hAnsi="仿宋" w:eastAsia="仿宋" w:cs="仿宋"/>
          <w:color w:val="000000" w:themeColor="text1"/>
          <w:kern w:val="0"/>
          <w:sz w:val="32"/>
          <w:szCs w:val="32"/>
          <w14:textFill>
            <w14:solidFill>
              <w14:schemeClr w14:val="tx1"/>
            </w14:solidFill>
          </w14:textFill>
        </w:rPr>
        <w:t>记录</w:t>
      </w:r>
      <w:r>
        <w:rPr>
          <w:rFonts w:hint="eastAsia" w:ascii="仿宋" w:hAnsi="仿宋" w:eastAsia="仿宋" w:cs="仿宋"/>
          <w:color w:val="000000" w:themeColor="text1"/>
          <w:kern w:val="0"/>
          <w:sz w:val="32"/>
          <w:szCs w:val="32"/>
          <w:lang w:val="en-US" w:eastAsia="zh-CN"/>
          <w14:textFill>
            <w14:solidFill>
              <w14:schemeClr w14:val="tx1"/>
            </w14:solidFill>
          </w14:textFill>
        </w:rPr>
        <w:t>表</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评估表、</w:t>
      </w:r>
      <w:r>
        <w:rPr>
          <w:rFonts w:hint="eastAsia" w:ascii="仿宋" w:hAnsi="仿宋" w:eastAsia="仿宋" w:cs="仿宋"/>
          <w:color w:val="000000" w:themeColor="text1"/>
          <w:kern w:val="0"/>
          <w:sz w:val="32"/>
          <w:szCs w:val="32"/>
          <w14:textFill>
            <w14:solidFill>
              <w14:schemeClr w14:val="tx1"/>
            </w14:solidFill>
          </w14:textFill>
        </w:rPr>
        <w:t>结案报告等资料</w:t>
      </w:r>
      <w:r>
        <w:rPr>
          <w:rStyle w:val="13"/>
          <w:rFonts w:hint="eastAsia" w:ascii="仿宋" w:hAnsi="仿宋" w:eastAsia="仿宋" w:cs="仿宋"/>
          <w:color w:val="000000" w:themeColor="text1"/>
          <w:kern w:val="0"/>
          <w:sz w:val="32"/>
          <w:szCs w:val="32"/>
          <w14:textFill>
            <w14:solidFill>
              <w14:schemeClr w14:val="tx1"/>
            </w14:solidFill>
          </w14:textFill>
        </w:rPr>
        <w:t>[</w:t>
      </w:r>
      <w:r>
        <w:rPr>
          <w:rStyle w:val="13"/>
          <w:rFonts w:hint="eastAsia" w:ascii="仿宋" w:hAnsi="仿宋" w:eastAsia="仿宋" w:cs="仿宋"/>
          <w:color w:val="000000" w:themeColor="text1"/>
          <w:kern w:val="0"/>
          <w:sz w:val="32"/>
          <w:szCs w:val="32"/>
          <w14:textFill>
            <w14:solidFill>
              <w14:schemeClr w14:val="tx1"/>
            </w14:solidFill>
          </w14:textFill>
        </w:rPr>
        <w:footnoteReference w:id="0"/>
      </w:r>
      <w:r>
        <w:rPr>
          <w:rStyle w:val="13"/>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小组工作：每个小组平均开展6节，平均20小时/节，1个完整小组平均所需时间为120小时。单个小组的参加人数应不少于</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人，每节小组活动的组员出勤率不低于60%。小组工作是指经</w:t>
      </w:r>
      <w:r>
        <w:rPr>
          <w:rFonts w:hint="eastAsia" w:ascii="仿宋" w:hAnsi="仿宋" w:eastAsia="仿宋" w:cs="仿宋"/>
          <w:color w:val="000000" w:themeColor="text1"/>
          <w:kern w:val="0"/>
          <w:sz w:val="32"/>
          <w:szCs w:val="32"/>
          <w:lang w:val="en-US" w:eastAsia="zh-CN"/>
          <w14:textFill>
            <w14:solidFill>
              <w14:schemeClr w14:val="tx1"/>
            </w14:solidFill>
          </w14:textFill>
        </w:rPr>
        <w:t>在</w:t>
      </w:r>
      <w:r>
        <w:rPr>
          <w:rFonts w:hint="eastAsia" w:ascii="仿宋" w:hAnsi="仿宋" w:eastAsia="仿宋" w:cs="仿宋"/>
          <w:color w:val="000000" w:themeColor="text1"/>
          <w:kern w:val="0"/>
          <w:sz w:val="32"/>
          <w:szCs w:val="32"/>
          <w14:textFill>
            <w14:solidFill>
              <w14:schemeClr w14:val="tx1"/>
            </w14:solidFill>
          </w14:textFill>
        </w:rPr>
        <w:t>社会工作者策划与指导</w:t>
      </w:r>
      <w:r>
        <w:rPr>
          <w:rFonts w:hint="eastAsia" w:ascii="仿宋" w:hAnsi="仿宋" w:eastAsia="仿宋" w:cs="仿宋"/>
          <w:color w:val="000000" w:themeColor="text1"/>
          <w:kern w:val="0"/>
          <w:sz w:val="32"/>
          <w:szCs w:val="32"/>
          <w:lang w:val="en-US" w:eastAsia="zh-CN"/>
          <w14:textFill>
            <w14:solidFill>
              <w14:schemeClr w14:val="tx1"/>
            </w14:solidFill>
          </w14:textFill>
        </w:rPr>
        <w:t>下</w:t>
      </w:r>
      <w:r>
        <w:rPr>
          <w:rFonts w:hint="eastAsia" w:ascii="仿宋" w:hAnsi="仿宋" w:eastAsia="仿宋" w:cs="仿宋"/>
          <w:color w:val="000000" w:themeColor="text1"/>
          <w:kern w:val="0"/>
          <w:sz w:val="32"/>
          <w:szCs w:val="32"/>
          <w14:textFill>
            <w14:solidFill>
              <w14:schemeClr w14:val="tx1"/>
            </w14:solidFill>
          </w14:textFill>
        </w:rPr>
        <w:t>，通过小组活动及组员间</w:t>
      </w:r>
      <w:r>
        <w:rPr>
          <w:rFonts w:hint="eastAsia" w:ascii="仿宋" w:hAnsi="仿宋" w:eastAsia="仿宋" w:cs="仿宋"/>
          <w:color w:val="000000" w:themeColor="text1"/>
          <w:kern w:val="0"/>
          <w:sz w:val="32"/>
          <w:szCs w:val="32"/>
          <w:lang w:val="en-US" w:eastAsia="zh-CN"/>
          <w14:textFill>
            <w14:solidFill>
              <w14:schemeClr w14:val="tx1"/>
            </w14:solidFill>
          </w14:textFill>
        </w:rPr>
        <w:t>进行</w:t>
      </w:r>
      <w:r>
        <w:rPr>
          <w:rFonts w:hint="eastAsia" w:ascii="仿宋" w:hAnsi="仿宋" w:eastAsia="仿宋" w:cs="仿宋"/>
          <w:color w:val="000000" w:themeColor="text1"/>
          <w:kern w:val="0"/>
          <w:sz w:val="32"/>
          <w:szCs w:val="32"/>
          <w14:textFill>
            <w14:solidFill>
              <w14:schemeClr w14:val="tx1"/>
            </w14:solidFill>
          </w14:textFill>
        </w:rPr>
        <w:t>互动和经验分享，帮助小组组员改善其社会功能，促进其转变和成长，以达到预防和解决有关社会问题的目标。小组工作的类型一般包括教育小组、成长小组、支持小组、治疗小组等。</w:t>
      </w:r>
      <w:r>
        <w:rPr>
          <w:rFonts w:hint="eastAsia" w:ascii="仿宋" w:hAnsi="仿宋" w:eastAsia="仿宋" w:cs="仿宋"/>
          <w:color w:val="000000" w:themeColor="text1"/>
          <w:kern w:val="0"/>
          <w:sz w:val="32"/>
          <w:szCs w:val="32"/>
          <w:lang w:val="en-US" w:eastAsia="zh-CN"/>
          <w14:textFill>
            <w14:solidFill>
              <w14:schemeClr w14:val="tx1"/>
            </w14:solidFill>
          </w14:textFill>
        </w:rPr>
        <w:t>完整的</w:t>
      </w:r>
      <w:r>
        <w:rPr>
          <w:rFonts w:hint="eastAsia" w:ascii="仿宋" w:hAnsi="仿宋" w:eastAsia="仿宋" w:cs="仿宋"/>
          <w:color w:val="000000" w:themeColor="text1"/>
          <w:kern w:val="0"/>
          <w:sz w:val="32"/>
          <w:szCs w:val="32"/>
          <w14:textFill>
            <w14:solidFill>
              <w14:schemeClr w14:val="tx1"/>
            </w14:solidFill>
          </w14:textFill>
        </w:rPr>
        <w:t>小组工作</w:t>
      </w:r>
      <w:r>
        <w:rPr>
          <w:rFonts w:hint="eastAsia" w:ascii="仿宋" w:hAnsi="仿宋" w:eastAsia="仿宋" w:cs="仿宋"/>
          <w:color w:val="000000" w:themeColor="text1"/>
          <w:kern w:val="0"/>
          <w:sz w:val="32"/>
          <w:szCs w:val="32"/>
          <w:lang w:val="en-US" w:eastAsia="zh-CN"/>
          <w14:textFill>
            <w14:solidFill>
              <w14:schemeClr w14:val="tx1"/>
            </w14:solidFill>
          </w14:textFill>
        </w:rPr>
        <w:t>应</w:t>
      </w:r>
      <w:r>
        <w:rPr>
          <w:rFonts w:hint="eastAsia" w:ascii="仿宋" w:hAnsi="仿宋" w:eastAsia="仿宋" w:cs="仿宋"/>
          <w:color w:val="000000" w:themeColor="text1"/>
          <w:kern w:val="0"/>
          <w:sz w:val="32"/>
          <w:szCs w:val="32"/>
          <w14:textFill>
            <w14:solidFill>
              <w14:schemeClr w14:val="tx1"/>
            </w14:solidFill>
          </w14:textFill>
        </w:rPr>
        <w:t>包括但不限于小组计划书、招募宣传资料、活动签到表、小组工作单元（小节）计划书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小组过程记录和小组总结报告等资料</w:t>
      </w:r>
      <w:r>
        <w:rPr>
          <w:rStyle w:val="13"/>
          <w:rFonts w:hint="eastAsia" w:ascii="仿宋" w:hAnsi="仿宋" w:eastAsia="仿宋" w:cs="仿宋"/>
          <w:color w:val="000000" w:themeColor="text1"/>
          <w:kern w:val="0"/>
          <w:sz w:val="32"/>
          <w:szCs w:val="32"/>
          <w14:textFill>
            <w14:solidFill>
              <w14:schemeClr w14:val="tx1"/>
            </w14:solidFill>
          </w14:textFill>
        </w:rPr>
        <w:t>[</w:t>
      </w:r>
      <w:r>
        <w:rPr>
          <w:rStyle w:val="13"/>
          <w:rFonts w:hint="eastAsia" w:ascii="仿宋" w:hAnsi="仿宋" w:eastAsia="仿宋" w:cs="仿宋"/>
          <w:color w:val="000000" w:themeColor="text1"/>
          <w:kern w:val="0"/>
          <w:sz w:val="32"/>
          <w:szCs w:val="32"/>
          <w14:textFill>
            <w14:solidFill>
              <w14:schemeClr w14:val="tx1"/>
            </w14:solidFill>
          </w14:textFill>
        </w:rPr>
        <w:footnoteReference w:id="1"/>
      </w:r>
      <w:r>
        <w:rPr>
          <w:rStyle w:val="13"/>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社区</w:t>
      </w:r>
      <w:r>
        <w:rPr>
          <w:rFonts w:hint="eastAsia" w:ascii="仿宋" w:hAnsi="仿宋" w:eastAsia="仿宋" w:cs="仿宋"/>
          <w:color w:val="000000" w:themeColor="text1"/>
          <w:kern w:val="0"/>
          <w:sz w:val="32"/>
          <w:szCs w:val="32"/>
          <w:lang w:val="en-US"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1次大型活动平均所需时间为60小时，1次中小型活动平均所需时间为40小时，1次讲座/培训平均所需时间为20小时。社区工作是指社会工作者运用专业方法解决社区问题、促进社区发展的方法和活动。社会工作者通过组织社区居民参与集体行动，界定社区需要，合力解决社区问题，改善生活环境及生活质量，并在参与的过程中，让社区居民建立对社区的归属感，培养其自助、互助与自决的精神，提高社区居民参与社区治理的能力和意识。社区工作以活动为载体，分为大型社区活动（服务人数不少于100人）、中小型社区活动（服务人数一般不少于30人）、讲座/培训（围绕某一主题开展的教育性、预防性、发展性讲座或培训，服务人数不少于30人，时间不少于40分钟）等。</w:t>
      </w:r>
      <w:r>
        <w:rPr>
          <w:rFonts w:hint="eastAsia" w:ascii="仿宋" w:hAnsi="仿宋" w:eastAsia="仿宋" w:cs="仿宋"/>
          <w:color w:val="000000" w:themeColor="text1"/>
          <w:kern w:val="0"/>
          <w:sz w:val="32"/>
          <w:szCs w:val="32"/>
          <w:lang w:val="en-US" w:eastAsia="zh-CN"/>
          <w14:textFill>
            <w14:solidFill>
              <w14:schemeClr w14:val="tx1"/>
            </w14:solidFill>
          </w14:textFill>
        </w:rPr>
        <w:t>完整的</w:t>
      </w:r>
      <w:r>
        <w:rPr>
          <w:rFonts w:hint="eastAsia" w:ascii="仿宋" w:hAnsi="仿宋" w:eastAsia="仿宋" w:cs="仿宋"/>
          <w:color w:val="000000" w:themeColor="text1"/>
          <w:kern w:val="0"/>
          <w:sz w:val="32"/>
          <w:szCs w:val="32"/>
          <w14:textFill>
            <w14:solidFill>
              <w14:schemeClr w14:val="tx1"/>
            </w14:solidFill>
          </w14:textFill>
        </w:rPr>
        <w:t>社区</w:t>
      </w:r>
      <w:r>
        <w:rPr>
          <w:rFonts w:hint="eastAsia" w:ascii="仿宋" w:hAnsi="仿宋" w:eastAsia="仿宋" w:cs="仿宋"/>
          <w:color w:val="000000" w:themeColor="text1"/>
          <w:kern w:val="0"/>
          <w:sz w:val="32"/>
          <w:szCs w:val="32"/>
          <w:lang w:val="en-US" w:eastAsia="zh-CN"/>
          <w14:textFill>
            <w14:solidFill>
              <w14:schemeClr w14:val="tx1"/>
            </w14:solidFill>
          </w14:textFill>
        </w:rPr>
        <w:t>工作应</w:t>
      </w:r>
      <w:r>
        <w:rPr>
          <w:rFonts w:hint="eastAsia" w:ascii="仿宋" w:hAnsi="仿宋" w:eastAsia="仿宋" w:cs="仿宋"/>
          <w:color w:val="000000" w:themeColor="text1"/>
          <w:kern w:val="0"/>
          <w:sz w:val="32"/>
          <w:szCs w:val="32"/>
          <w14:textFill>
            <w14:solidFill>
              <w14:schemeClr w14:val="tx1"/>
            </w14:solidFill>
          </w14:textFill>
        </w:rPr>
        <w:t>包括但不限于活动计划书、招募宣传资料、活动</w:t>
      </w:r>
      <w:r>
        <w:rPr>
          <w:rFonts w:hint="eastAsia" w:ascii="仿宋" w:hAnsi="仿宋" w:eastAsia="仿宋" w:cs="仿宋"/>
          <w:color w:val="000000" w:themeColor="text1"/>
          <w:kern w:val="0"/>
          <w:sz w:val="32"/>
          <w:szCs w:val="32"/>
          <w:lang w:val="en-US" w:eastAsia="zh-CN"/>
          <w14:textFill>
            <w14:solidFill>
              <w14:schemeClr w14:val="tx1"/>
            </w14:solidFill>
          </w14:textFill>
        </w:rPr>
        <w:t>开展、活动记录</w:t>
      </w:r>
      <w:r>
        <w:rPr>
          <w:rFonts w:hint="eastAsia" w:ascii="仿宋" w:hAnsi="仿宋" w:eastAsia="仿宋" w:cs="仿宋"/>
          <w:color w:val="000000" w:themeColor="text1"/>
          <w:kern w:val="0"/>
          <w:sz w:val="32"/>
          <w:szCs w:val="32"/>
          <w14:textFill>
            <w14:solidFill>
              <w14:schemeClr w14:val="tx1"/>
            </w14:solidFill>
          </w14:textFill>
        </w:rPr>
        <w:t>、签到表、活动总结</w:t>
      </w:r>
      <w:r>
        <w:rPr>
          <w:rFonts w:hint="eastAsia" w:ascii="仿宋" w:hAnsi="仿宋" w:eastAsia="仿宋" w:cs="仿宋"/>
          <w:color w:val="000000" w:themeColor="text1"/>
          <w:kern w:val="0"/>
          <w:sz w:val="32"/>
          <w:szCs w:val="32"/>
          <w:lang w:eastAsia="zh-CN"/>
          <w14:textFill>
            <w14:solidFill>
              <w14:schemeClr w14:val="tx1"/>
            </w14:solidFill>
          </w14:textFill>
        </w:rPr>
        <w:t>评估</w:t>
      </w:r>
      <w:r>
        <w:rPr>
          <w:rFonts w:hint="eastAsia" w:ascii="仿宋" w:hAnsi="仿宋" w:eastAsia="仿宋" w:cs="仿宋"/>
          <w:color w:val="000000" w:themeColor="text1"/>
          <w:kern w:val="0"/>
          <w:sz w:val="32"/>
          <w:szCs w:val="32"/>
          <w:lang w:val="en-US" w:eastAsia="zh-CN"/>
          <w14:textFill>
            <w14:solidFill>
              <w14:schemeClr w14:val="tx1"/>
            </w14:solidFill>
          </w14:textFill>
        </w:rPr>
        <w:t>报告</w:t>
      </w:r>
      <w:r>
        <w:rPr>
          <w:rFonts w:hint="eastAsia" w:ascii="仿宋" w:hAnsi="仿宋" w:eastAsia="仿宋" w:cs="仿宋"/>
          <w:color w:val="000000" w:themeColor="text1"/>
          <w:kern w:val="0"/>
          <w:sz w:val="32"/>
          <w:szCs w:val="32"/>
          <w14:textFill>
            <w14:solidFill>
              <w14:schemeClr w14:val="tx1"/>
            </w14:solidFill>
          </w14:textFill>
        </w:rPr>
        <w:t>等资料</w:t>
      </w:r>
      <w:r>
        <w:rPr>
          <w:rStyle w:val="13"/>
          <w:rFonts w:hint="eastAsia" w:ascii="仿宋" w:hAnsi="仿宋" w:eastAsia="仿宋" w:cs="仿宋"/>
          <w:color w:val="000000" w:themeColor="text1"/>
          <w:kern w:val="0"/>
          <w:sz w:val="32"/>
          <w:szCs w:val="32"/>
          <w14:textFill>
            <w14:solidFill>
              <w14:schemeClr w14:val="tx1"/>
            </w14:solidFill>
          </w14:textFill>
        </w:rPr>
        <w:t>[</w:t>
      </w:r>
      <w:r>
        <w:rPr>
          <w:rStyle w:val="13"/>
          <w:rFonts w:hint="eastAsia" w:ascii="仿宋" w:hAnsi="仿宋" w:eastAsia="仿宋" w:cs="仿宋"/>
          <w:color w:val="000000" w:themeColor="text1"/>
          <w:kern w:val="0"/>
          <w:sz w:val="32"/>
          <w:szCs w:val="32"/>
          <w14:textFill>
            <w14:solidFill>
              <w14:schemeClr w14:val="tx1"/>
            </w14:solidFill>
          </w14:textFill>
        </w:rPr>
        <w:footnoteReference w:id="2"/>
      </w:r>
      <w:r>
        <w:rPr>
          <w:rStyle w:val="13"/>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其他服务：开展其他服务活动所需时间视实际情况由购买主体和承接主体共同商定。其他服务是指除以上服务之外所提供的服务，包括</w:t>
      </w:r>
      <w:r>
        <w:rPr>
          <w:rFonts w:hint="eastAsia" w:ascii="仿宋" w:hAnsi="仿宋" w:eastAsia="仿宋" w:cs="仿宋"/>
          <w:color w:val="000000" w:themeColor="text1"/>
          <w:kern w:val="0"/>
          <w:sz w:val="32"/>
          <w:szCs w:val="32"/>
          <w:lang w:val="en-US" w:eastAsia="zh-CN"/>
          <w14:textFill>
            <w14:solidFill>
              <w14:schemeClr w14:val="tx1"/>
            </w14:solidFill>
          </w14:textFill>
        </w:rPr>
        <w:t>但不限于为</w:t>
      </w:r>
      <w:r>
        <w:rPr>
          <w:rFonts w:hint="eastAsia" w:ascii="仿宋" w:hAnsi="仿宋" w:eastAsia="仿宋" w:cs="仿宋"/>
          <w:color w:val="000000" w:themeColor="text1"/>
          <w:kern w:val="0"/>
          <w:sz w:val="32"/>
          <w:szCs w:val="32"/>
          <w14:textFill>
            <w14:solidFill>
              <w14:schemeClr w14:val="tx1"/>
            </w14:solidFill>
          </w14:textFill>
        </w:rPr>
        <w:t>服务对象开办的各种工作坊、培训班、座谈会、志愿者培育、</w:t>
      </w:r>
      <w:r>
        <w:rPr>
          <w:rFonts w:hint="eastAsia" w:ascii="仿宋" w:hAnsi="仿宋" w:eastAsia="仿宋" w:cs="仿宋"/>
          <w:color w:val="000000" w:themeColor="text1"/>
          <w:kern w:val="0"/>
          <w:sz w:val="32"/>
          <w:szCs w:val="32"/>
          <w:lang w:eastAsia="zh-CN"/>
          <w14:textFill>
            <w14:solidFill>
              <w14:schemeClr w14:val="tx1"/>
            </w14:solidFill>
          </w14:textFill>
        </w:rPr>
        <w:t>社区自</w:t>
      </w:r>
      <w:r>
        <w:rPr>
          <w:rFonts w:hint="eastAsia" w:ascii="仿宋" w:hAnsi="仿宋" w:eastAsia="仿宋" w:cs="仿宋"/>
          <w:color w:val="000000" w:themeColor="text1"/>
          <w:kern w:val="0"/>
          <w:sz w:val="32"/>
          <w:szCs w:val="32"/>
          <w14:textFill>
            <w14:solidFill>
              <w14:schemeClr w14:val="tx1"/>
            </w14:solidFill>
          </w14:textFill>
        </w:rPr>
        <w:t>组织孵化</w:t>
      </w:r>
      <w:r>
        <w:rPr>
          <w:rFonts w:hint="eastAsia" w:ascii="仿宋" w:hAnsi="仿宋" w:eastAsia="仿宋" w:cs="仿宋"/>
          <w:color w:val="000000" w:themeColor="text1"/>
          <w:kern w:val="0"/>
          <w:sz w:val="32"/>
          <w:szCs w:val="32"/>
          <w:lang w:val="en-US" w:eastAsia="zh-CN"/>
          <w14:textFill>
            <w14:solidFill>
              <w14:schemeClr w14:val="tx1"/>
            </w14:solidFill>
          </w14:textFill>
        </w:rPr>
        <w:t>培育</w:t>
      </w:r>
      <w:r>
        <w:rPr>
          <w:rFonts w:hint="eastAsia" w:ascii="仿宋" w:hAnsi="仿宋" w:eastAsia="仿宋" w:cs="仿宋"/>
          <w:color w:val="000000" w:themeColor="text1"/>
          <w:kern w:val="0"/>
          <w:sz w:val="32"/>
          <w:szCs w:val="32"/>
          <w14:textFill>
            <w14:solidFill>
              <w14:schemeClr w14:val="tx1"/>
            </w14:solidFill>
          </w14:textFill>
        </w:rPr>
        <w:t>、资源链接、参访接待、场地管理等</w:t>
      </w:r>
      <w:r>
        <w:rPr>
          <w:rFonts w:hint="eastAsia" w:ascii="仿宋" w:hAnsi="仿宋" w:eastAsia="仿宋" w:cs="仿宋"/>
          <w:color w:val="000000" w:themeColor="text1"/>
          <w:kern w:val="0"/>
          <w:sz w:val="32"/>
          <w:szCs w:val="32"/>
          <w:lang w:eastAsia="zh-CN"/>
          <w14:textFill>
            <w14:solidFill>
              <w14:schemeClr w14:val="tx1"/>
            </w14:solidFill>
          </w14:textFill>
        </w:rPr>
        <w:t>服务</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（二）财政核准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财政部门根据申报情况和当年财政资金情况，核准</w:t>
      </w:r>
      <w:r>
        <w:rPr>
          <w:rFonts w:hint="eastAsia" w:ascii="仿宋" w:hAnsi="仿宋" w:eastAsia="仿宋" w:cs="仿宋"/>
          <w:color w:val="000000" w:themeColor="text1"/>
          <w:kern w:val="0"/>
          <w:sz w:val="32"/>
          <w:szCs w:val="32"/>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14:textFill>
            <w14:solidFill>
              <w14:schemeClr w14:val="tx1"/>
            </w14:solidFill>
          </w14:textFill>
        </w:rPr>
        <w:t>社会工作服务项目预算申请。购买主体立项需报备同级财政部门。</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（三）实施采购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购买主体按照政府采购相关法律法规和规章政策要求，向符合条件的社会工作服务机构购买</w:t>
      </w:r>
      <w:r>
        <w:rPr>
          <w:rFonts w:hint="eastAsia" w:ascii="仿宋" w:hAnsi="仿宋" w:eastAsia="仿宋" w:cs="仿宋"/>
          <w:color w:val="000000" w:themeColor="text1"/>
          <w:kern w:val="0"/>
          <w:sz w:val="32"/>
          <w:szCs w:val="32"/>
          <w:lang w:eastAsia="zh-CN"/>
          <w14:textFill>
            <w14:solidFill>
              <w14:schemeClr w14:val="tx1"/>
            </w14:solidFill>
          </w14:textFill>
        </w:rPr>
        <w:t>服务。</w:t>
      </w:r>
      <w:r>
        <w:rPr>
          <w:rFonts w:hint="eastAsia" w:ascii="仿宋" w:hAnsi="仿宋" w:eastAsia="仿宋" w:cs="仿宋"/>
          <w:color w:val="000000" w:themeColor="text1"/>
          <w:kern w:val="0"/>
          <w:sz w:val="32"/>
          <w:szCs w:val="32"/>
          <w14:textFill>
            <w14:solidFill>
              <w14:schemeClr w14:val="tx1"/>
            </w14:solidFill>
          </w14:textFill>
        </w:rPr>
        <w:t>确定立项后，应主动向社会公开所购买服务项目的服务标准、经费预算、评价方法和服务要求等内容。购买主体应当根据购</w:t>
      </w:r>
      <w:r>
        <w:rPr>
          <w:rFonts w:hint="eastAsia" w:ascii="仿宋" w:hAnsi="仿宋" w:eastAsia="仿宋" w:cs="仿宋"/>
          <w:color w:val="000000" w:themeColor="text1"/>
          <w:kern w:val="0"/>
          <w:sz w:val="32"/>
          <w:szCs w:val="32"/>
          <w:highlight w:val="none"/>
          <w14:textFill>
            <w14:solidFill>
              <w14:schemeClr w14:val="tx1"/>
            </w14:solidFill>
          </w14:textFill>
        </w:rPr>
        <w:t>买社会工作服务</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机构</w:t>
      </w:r>
      <w:r>
        <w:rPr>
          <w:rFonts w:hint="eastAsia" w:ascii="仿宋" w:hAnsi="仿宋" w:eastAsia="仿宋" w:cs="仿宋"/>
          <w:color w:val="000000" w:themeColor="text1"/>
          <w:kern w:val="0"/>
          <w:sz w:val="32"/>
          <w:szCs w:val="32"/>
          <w:highlight w:val="none"/>
          <w14:textFill>
            <w14:solidFill>
              <w14:schemeClr w14:val="tx1"/>
            </w14:solidFill>
          </w14:textFill>
        </w:rPr>
        <w:t>的</w:t>
      </w:r>
      <w:r>
        <w:rPr>
          <w:rFonts w:hint="eastAsia" w:ascii="仿宋" w:hAnsi="仿宋" w:eastAsia="仿宋" w:cs="仿宋"/>
          <w:color w:val="000000" w:themeColor="text1"/>
          <w:kern w:val="0"/>
          <w:sz w:val="32"/>
          <w:szCs w:val="32"/>
          <w14:textFill>
            <w14:solidFill>
              <w14:schemeClr w14:val="tx1"/>
            </w14:solidFill>
          </w14:textFill>
        </w:rPr>
        <w:t>供求特点、市场发育程度等因素，按照方式灵活、程序简便、公开透明、竞争有序、结果评价的原则组织实施</w:t>
      </w:r>
      <w:r>
        <w:rPr>
          <w:rFonts w:hint="eastAsia" w:ascii="仿宋" w:hAnsi="仿宋" w:eastAsia="仿宋" w:cs="仿宋"/>
          <w:color w:val="000000" w:themeColor="text1"/>
          <w:kern w:val="0"/>
          <w:sz w:val="32"/>
          <w:szCs w:val="32"/>
          <w:lang w:val="en-US" w:eastAsia="zh-CN"/>
          <w14:textFill>
            <w14:solidFill>
              <w14:schemeClr w14:val="tx1"/>
            </w14:solidFill>
          </w14:textFill>
        </w:rPr>
        <w:t>福州市民政领域</w:t>
      </w:r>
      <w:r>
        <w:rPr>
          <w:rFonts w:hint="eastAsia" w:ascii="仿宋" w:hAnsi="仿宋" w:eastAsia="仿宋" w:cs="仿宋"/>
          <w:color w:val="000000" w:themeColor="text1"/>
          <w:kern w:val="0"/>
          <w:sz w:val="32"/>
          <w:szCs w:val="32"/>
          <w14:textFill>
            <w14:solidFill>
              <w14:schemeClr w14:val="tx1"/>
            </w14:solidFill>
          </w14:textFill>
        </w:rPr>
        <w:t>政府购买社会</w:t>
      </w:r>
      <w:r>
        <w:rPr>
          <w:rFonts w:hint="eastAsia" w:ascii="仿宋" w:hAnsi="仿宋" w:eastAsia="仿宋" w:cs="仿宋"/>
          <w:color w:val="000000" w:themeColor="text1"/>
          <w:kern w:val="0"/>
          <w:sz w:val="32"/>
          <w:szCs w:val="32"/>
          <w:lang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服务。纳入政府采购管理范畴的</w:t>
      </w:r>
      <w:r>
        <w:rPr>
          <w:rFonts w:hint="eastAsia" w:ascii="仿宋" w:hAnsi="仿宋" w:eastAsia="仿宋" w:cs="仿宋"/>
          <w:color w:val="000000" w:themeColor="text1"/>
          <w:kern w:val="0"/>
          <w:sz w:val="32"/>
          <w:szCs w:val="32"/>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14:textFill>
            <w14:solidFill>
              <w14:schemeClr w14:val="tx1"/>
            </w14:solidFill>
          </w14:textFill>
        </w:rPr>
        <w:t>政府购买服务项目，应当按照《</w:t>
      </w:r>
      <w:r>
        <w:rPr>
          <w:rFonts w:hint="eastAsia" w:ascii="仿宋" w:hAnsi="仿宋" w:eastAsia="仿宋" w:cs="仿宋"/>
          <w:color w:val="000000" w:themeColor="text1"/>
          <w:kern w:val="0"/>
          <w:sz w:val="32"/>
          <w:szCs w:val="32"/>
          <w:shd w:val="clear" w:color="auto" w:fill="FFFFFF"/>
          <w14:textFill>
            <w14:solidFill>
              <w14:schemeClr w14:val="tx1"/>
            </w14:solidFill>
          </w14:textFill>
        </w:rPr>
        <w:t>福州市政府购买社会</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工作</w:t>
      </w:r>
      <w:r>
        <w:rPr>
          <w:rFonts w:hint="eastAsia" w:ascii="仿宋" w:hAnsi="仿宋" w:eastAsia="仿宋" w:cs="仿宋"/>
          <w:color w:val="000000" w:themeColor="text1"/>
          <w:kern w:val="0"/>
          <w:sz w:val="32"/>
          <w:szCs w:val="32"/>
          <w:shd w:val="clear" w:color="auto" w:fill="FFFFFF"/>
          <w14:textFill>
            <w14:solidFill>
              <w14:schemeClr w14:val="tx1"/>
            </w14:solidFill>
          </w14:textFill>
        </w:rPr>
        <w:t>服务实施办法》</w:t>
      </w:r>
      <w:r>
        <w:rPr>
          <w:rFonts w:hint="eastAsia" w:ascii="仿宋" w:hAnsi="仿宋" w:eastAsia="仿宋" w:cs="仿宋"/>
          <w:color w:val="000000" w:themeColor="text1"/>
          <w:kern w:val="0"/>
          <w:sz w:val="32"/>
          <w:szCs w:val="32"/>
          <w14:textFill>
            <w14:solidFill>
              <w14:schemeClr w14:val="tx1"/>
            </w14:solidFill>
          </w14:textFill>
        </w:rPr>
        <w:t>等相关规定采购。</w:t>
      </w:r>
    </w:p>
    <w:p>
      <w:pPr>
        <w:keepNext w:val="0"/>
        <w:keepLines w:val="0"/>
        <w:pageBreakBefore w:val="0"/>
        <w:widowControl/>
        <w:kinsoku/>
        <w:wordWrap/>
        <w:overflowPunct/>
        <w:topLinePunct w:val="0"/>
        <w:autoSpaceDE/>
        <w:autoSpaceDN/>
        <w:bidi w:val="0"/>
        <w:adjustRightInd w:val="0"/>
        <w:snapToGrid w:val="0"/>
        <w:spacing w:line="360" w:lineRule="auto"/>
        <w:ind w:firstLine="72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（四）签订合同</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按规定程序确定承接主体后，购买主体应与承接主体签订书面合同。</w:t>
      </w:r>
      <w:r>
        <w:rPr>
          <w:rFonts w:hint="eastAsia" w:ascii="仿宋" w:hAnsi="仿宋" w:eastAsia="仿宋" w:cs="仿宋"/>
          <w:color w:val="000000" w:themeColor="text1"/>
          <w:kern w:val="0"/>
          <w:sz w:val="32"/>
          <w:szCs w:val="32"/>
          <w:lang w:val="en-US" w:eastAsia="zh-CN"/>
          <w14:textFill>
            <w14:solidFill>
              <w14:schemeClr w14:val="tx1"/>
            </w14:solidFill>
          </w14:textFill>
        </w:rPr>
        <w:t>福州市民政领域</w:t>
      </w:r>
      <w:r>
        <w:rPr>
          <w:rFonts w:hint="eastAsia" w:ascii="仿宋" w:hAnsi="仿宋" w:eastAsia="仿宋" w:cs="仿宋"/>
          <w:color w:val="000000" w:themeColor="text1"/>
          <w:sz w:val="32"/>
          <w:szCs w:val="32"/>
          <w14:textFill>
            <w14:solidFill>
              <w14:schemeClr w14:val="tx1"/>
            </w14:solidFill>
          </w14:textFill>
        </w:rPr>
        <w:t>政府购买社会工作服务合同应包括但不限于以下内容：服务期限、服务要求、服务内容、项目金额及拨款方式、配备人员资质要求、双方权利义务及其</w:t>
      </w:r>
      <w:r>
        <w:rPr>
          <w:rFonts w:hint="eastAsia" w:ascii="仿宋" w:hAnsi="仿宋" w:eastAsia="仿宋" w:cs="仿宋"/>
          <w:color w:val="000000" w:themeColor="text1"/>
          <w:sz w:val="32"/>
          <w:szCs w:val="32"/>
          <w:lang w:val="en-US" w:eastAsia="zh-CN"/>
          <w14:textFill>
            <w14:solidFill>
              <w14:schemeClr w14:val="tx1"/>
            </w14:solidFill>
          </w14:textFill>
        </w:rPr>
        <w:t>他</w:t>
      </w:r>
      <w:r>
        <w:rPr>
          <w:rFonts w:hint="eastAsia" w:ascii="仿宋" w:hAnsi="仿宋" w:eastAsia="仿宋" w:cs="仿宋"/>
          <w:color w:val="000000" w:themeColor="text1"/>
          <w:sz w:val="32"/>
          <w:szCs w:val="32"/>
          <w14:textFill>
            <w14:solidFill>
              <w14:schemeClr w14:val="tx1"/>
            </w14:solidFill>
          </w14:textFill>
        </w:rPr>
        <w:t>，原则上应包含项目服务方案</w:t>
      </w:r>
      <w:r>
        <w:rPr>
          <w:rFonts w:hint="eastAsia" w:ascii="仿宋" w:hAnsi="仿宋" w:eastAsia="仿宋" w:cs="仿宋"/>
          <w:color w:val="000000" w:themeColor="text1"/>
          <w:sz w:val="32"/>
          <w:szCs w:val="32"/>
          <w:lang w:eastAsia="zh-CN"/>
          <w14:textFill>
            <w14:solidFill>
              <w14:schemeClr w14:val="tx1"/>
            </w14:solidFill>
          </w14:textFill>
        </w:rPr>
        <w:t>作为合同附件，购买主体可根据需要，要求承接主体提供</w:t>
      </w:r>
      <w:r>
        <w:rPr>
          <w:rFonts w:hint="eastAsia" w:ascii="仿宋" w:hAnsi="仿宋" w:eastAsia="仿宋" w:cs="仿宋"/>
          <w:color w:val="000000" w:themeColor="text1"/>
          <w:sz w:val="32"/>
          <w:szCs w:val="32"/>
          <w14:textFill>
            <w14:solidFill>
              <w14:schemeClr w14:val="tx1"/>
            </w14:solidFill>
          </w14:textFill>
        </w:rPr>
        <w:t>项目需求评估报告。项目服务方案可包括：项目目标、项目服务量化与非量化指标、项目评估机制和标准、项目督导服务计划、项目经费预算、质量标准、项目进程等项目相关的内容。具体合同内容可根据项目约定进行调整。</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购买主体与承接主体应遵守相关法律法规、政策制度签订合同；经双方协商同意，可会同项目其他相关方签署多方合同。合同签订后，确有需要调整的，经双方协商，可签订补充协议。签订合同的各方都应严格履行合同的各项条款。</w:t>
      </w:r>
    </w:p>
    <w:p>
      <w:pPr>
        <w:keepNext w:val="0"/>
        <w:keepLines w:val="0"/>
        <w:pageBreakBefore w:val="0"/>
        <w:widowControl/>
        <w:kinsoku/>
        <w:wordWrap/>
        <w:overflowPunct/>
        <w:topLinePunct w:val="0"/>
        <w:autoSpaceDE/>
        <w:autoSpaceDN/>
        <w:bidi w:val="0"/>
        <w:adjustRightInd w:val="0"/>
        <w:snapToGrid w:val="0"/>
        <w:spacing w:line="360" w:lineRule="auto"/>
        <w:ind w:firstLine="72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（五）资金拨付</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购买主体应根据合同约定的经费拨付时间及方式，及时拨付项目服务经费（需预留</w:t>
      </w:r>
      <w:r>
        <w:rPr>
          <w:rFonts w:hint="eastAsia" w:ascii="仿宋" w:hAnsi="仿宋" w:eastAsia="仿宋" w:cs="仿宋"/>
          <w:color w:val="000000" w:themeColor="text1"/>
          <w:kern w:val="0"/>
          <w:sz w:val="32"/>
          <w:szCs w:val="32"/>
          <w:lang w:val="en-US" w:eastAsia="zh-CN"/>
          <w14:textFill>
            <w14:solidFill>
              <w14:schemeClr w14:val="tx1"/>
            </w14:solidFill>
          </w14:textFill>
        </w:rPr>
        <w:t>包含在项目经费内的</w:t>
      </w:r>
      <w:r>
        <w:rPr>
          <w:rFonts w:hint="eastAsia" w:ascii="仿宋" w:hAnsi="仿宋" w:eastAsia="仿宋" w:cs="仿宋"/>
          <w:color w:val="000000" w:themeColor="text1"/>
          <w:kern w:val="0"/>
          <w:sz w:val="32"/>
          <w:szCs w:val="32"/>
          <w14:textFill>
            <w14:solidFill>
              <w14:schemeClr w14:val="tx1"/>
            </w14:solidFill>
          </w14:textFill>
        </w:rPr>
        <w:t>项目评估费、审计费），确保项目顺利运作。项目评估费、审计费由政府出资方或购买主体</w:t>
      </w:r>
      <w:r>
        <w:rPr>
          <w:rFonts w:hint="eastAsia" w:ascii="仿宋" w:hAnsi="仿宋" w:eastAsia="仿宋" w:cs="仿宋"/>
          <w:color w:val="000000" w:themeColor="text1"/>
          <w:kern w:val="0"/>
          <w:sz w:val="32"/>
          <w:szCs w:val="32"/>
          <w:lang w:eastAsia="zh-CN"/>
          <w14:textFill>
            <w14:solidFill>
              <w14:schemeClr w14:val="tx1"/>
            </w14:solidFill>
          </w14:textFill>
        </w:rPr>
        <w:t>管理</w:t>
      </w:r>
      <w:r>
        <w:rPr>
          <w:rFonts w:hint="eastAsia" w:ascii="仿宋" w:hAnsi="仿宋" w:eastAsia="仿宋" w:cs="仿宋"/>
          <w:color w:val="000000" w:themeColor="text1"/>
          <w:kern w:val="0"/>
          <w:sz w:val="32"/>
          <w:szCs w:val="32"/>
          <w14:textFill>
            <w14:solidFill>
              <w14:schemeClr w14:val="tx1"/>
            </w14:solidFill>
          </w14:textFill>
        </w:rPr>
        <w:t>，用于</w:t>
      </w:r>
      <w:r>
        <w:rPr>
          <w:rFonts w:hint="eastAsia" w:ascii="仿宋" w:hAnsi="仿宋" w:eastAsia="仿宋" w:cs="仿宋"/>
          <w:color w:val="000000" w:themeColor="text1"/>
          <w:kern w:val="0"/>
          <w:sz w:val="32"/>
          <w:szCs w:val="32"/>
          <w:lang w:eastAsia="zh-CN"/>
          <w14:textFill>
            <w14:solidFill>
              <w14:schemeClr w14:val="tx1"/>
            </w14:solidFill>
          </w14:textFill>
        </w:rPr>
        <w:t>开展</w:t>
      </w:r>
      <w:r>
        <w:rPr>
          <w:rFonts w:hint="eastAsia" w:ascii="仿宋" w:hAnsi="仿宋" w:eastAsia="仿宋" w:cs="仿宋"/>
          <w:color w:val="000000" w:themeColor="text1"/>
          <w:kern w:val="0"/>
          <w:sz w:val="32"/>
          <w:szCs w:val="32"/>
          <w14:textFill>
            <w14:solidFill>
              <w14:schemeClr w14:val="tx1"/>
            </w14:solidFill>
          </w14:textFill>
        </w:rPr>
        <w:t>项</w:t>
      </w:r>
      <w:r>
        <w:rPr>
          <w:rFonts w:hint="eastAsia" w:ascii="仿宋" w:hAnsi="仿宋" w:eastAsia="仿宋" w:cs="仿宋"/>
          <w:color w:val="000000" w:themeColor="text1"/>
          <w:kern w:val="0"/>
          <w:sz w:val="32"/>
          <w:szCs w:val="32"/>
          <w:highlight w:val="none"/>
          <w14:textFill>
            <w14:solidFill>
              <w14:schemeClr w14:val="tx1"/>
            </w14:solidFill>
          </w14:textFill>
        </w:rPr>
        <w:t>目评估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、审计</w:t>
      </w:r>
      <w:r>
        <w:rPr>
          <w:rFonts w:hint="eastAsia" w:ascii="仿宋" w:hAnsi="仿宋" w:eastAsia="仿宋" w:cs="仿宋"/>
          <w:color w:val="000000" w:themeColor="text1"/>
          <w:kern w:val="0"/>
          <w:sz w:val="32"/>
          <w:szCs w:val="32"/>
          <w:highlight w:val="none"/>
          <w14:textFill>
            <w14:solidFill>
              <w14:schemeClr w14:val="tx1"/>
            </w14:solidFill>
          </w14:textFill>
        </w:rPr>
        <w:t>工作。</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按合同约定，允许购买主体将项目服务经费一次性拨付或根据实际情况分期拨付，具体按照合同约定的期限及方式进行。分期拨付如下：</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w:t>
      </w:r>
      <w:r>
        <w:rPr>
          <w:rFonts w:hint="eastAsia" w:ascii="仿宋" w:hAnsi="仿宋" w:eastAsia="仿宋" w:cs="仿宋"/>
          <w:color w:val="000000" w:themeColor="text1"/>
          <w:kern w:val="0"/>
          <w:sz w:val="32"/>
          <w:szCs w:val="32"/>
          <w:highlight w:val="none"/>
          <w14:textFill>
            <w14:solidFill>
              <w14:schemeClr w14:val="tx1"/>
            </w14:solidFill>
          </w14:textFill>
        </w:rPr>
        <w:t>项目规模为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w:t>
      </w:r>
      <w:r>
        <w:rPr>
          <w:rFonts w:hint="eastAsia" w:ascii="仿宋" w:hAnsi="仿宋" w:eastAsia="仿宋" w:cs="仿宋"/>
          <w:color w:val="000000" w:themeColor="text1"/>
          <w:kern w:val="0"/>
          <w:sz w:val="32"/>
          <w:szCs w:val="32"/>
          <w:highlight w:val="none"/>
          <w14:textFill>
            <w14:solidFill>
              <w14:schemeClr w14:val="tx1"/>
            </w14:solidFill>
          </w14:textFill>
        </w:rPr>
        <w:t>万元（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不</w:t>
      </w:r>
      <w:r>
        <w:rPr>
          <w:rFonts w:hint="eastAsia" w:ascii="仿宋" w:hAnsi="仿宋" w:eastAsia="仿宋" w:cs="仿宋"/>
          <w:color w:val="000000" w:themeColor="text1"/>
          <w:kern w:val="0"/>
          <w:sz w:val="32"/>
          <w:szCs w:val="32"/>
          <w:highlight w:val="none"/>
          <w14:textFill>
            <w14:solidFill>
              <w14:schemeClr w14:val="tx1"/>
            </w14:solidFill>
          </w14:textFill>
        </w:rPr>
        <w:t>含）</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以下</w:t>
      </w:r>
      <w:r>
        <w:rPr>
          <w:rFonts w:hint="eastAsia" w:ascii="仿宋" w:hAnsi="仿宋" w:eastAsia="仿宋" w:cs="仿宋"/>
          <w:color w:val="000000" w:themeColor="text1"/>
          <w:kern w:val="0"/>
          <w:sz w:val="32"/>
          <w:szCs w:val="32"/>
          <w:highlight w:val="none"/>
          <w14:textFill>
            <w14:solidFill>
              <w14:schemeClr w14:val="tx1"/>
            </w14:solidFill>
          </w14:textFill>
        </w:rPr>
        <w:t>的</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项目资金</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可以</w:t>
      </w:r>
      <w:r>
        <w:rPr>
          <w:rFonts w:hint="eastAsia" w:ascii="仿宋" w:hAnsi="仿宋" w:eastAsia="仿宋" w:cs="仿宋"/>
          <w:color w:val="000000" w:themeColor="text1"/>
          <w:kern w:val="0"/>
          <w:sz w:val="32"/>
          <w:szCs w:val="32"/>
          <w:highlight w:val="none"/>
          <w14:textFill>
            <w14:solidFill>
              <w14:schemeClr w14:val="tx1"/>
            </w14:solidFill>
          </w14:textFill>
        </w:rPr>
        <w:t>分两次拨付，合同生效后在约定的拨款日期内拨付不少于项目总经费的80%，项目验收合格后拨付剩余经费。</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w:t>
      </w:r>
      <w:r>
        <w:rPr>
          <w:rFonts w:hint="eastAsia" w:ascii="仿宋" w:hAnsi="仿宋" w:eastAsia="仿宋" w:cs="仿宋"/>
          <w:color w:val="000000" w:themeColor="text1"/>
          <w:kern w:val="0"/>
          <w:sz w:val="32"/>
          <w:szCs w:val="32"/>
          <w:highlight w:val="none"/>
          <w14:textFill>
            <w14:solidFill>
              <w14:schemeClr w14:val="tx1"/>
            </w14:solidFill>
          </w14:textFill>
        </w:rPr>
        <w:t>项目规模为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w:t>
      </w:r>
      <w:r>
        <w:rPr>
          <w:rFonts w:hint="eastAsia" w:ascii="仿宋" w:hAnsi="仿宋" w:eastAsia="仿宋" w:cs="仿宋"/>
          <w:color w:val="000000" w:themeColor="text1"/>
          <w:kern w:val="0"/>
          <w:sz w:val="32"/>
          <w:szCs w:val="32"/>
          <w:highlight w:val="none"/>
          <w14:textFill>
            <w14:solidFill>
              <w14:schemeClr w14:val="tx1"/>
            </w14:solidFill>
          </w14:textFill>
        </w:rPr>
        <w:t>万元</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及</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上的，</w:t>
      </w:r>
      <w:r>
        <w:rPr>
          <w:rFonts w:hint="eastAsia" w:ascii="仿宋" w:hAnsi="仿宋" w:eastAsia="仿宋" w:cs="仿宋"/>
          <w:color w:val="000000" w:themeColor="text1"/>
          <w:kern w:val="0"/>
          <w:sz w:val="32"/>
          <w:szCs w:val="32"/>
          <w:highlight w:val="none"/>
          <w14:textFill>
            <w14:solidFill>
              <w14:schemeClr w14:val="tx1"/>
            </w14:solidFill>
          </w14:textFill>
        </w:rPr>
        <w:t>项目资金</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可以</w:t>
      </w:r>
      <w:r>
        <w:rPr>
          <w:rFonts w:hint="eastAsia" w:ascii="仿宋" w:hAnsi="仿宋" w:eastAsia="仿宋" w:cs="仿宋"/>
          <w:color w:val="000000" w:themeColor="text1"/>
          <w:kern w:val="0"/>
          <w:sz w:val="32"/>
          <w:szCs w:val="32"/>
          <w:highlight w:val="none"/>
          <w14:textFill>
            <w14:solidFill>
              <w14:schemeClr w14:val="tx1"/>
            </w14:solidFill>
          </w14:textFill>
        </w:rPr>
        <w:t>分三次拨付，合同生效后在约定的拨款日期内拨付不少于项目总经费的60%，中期评估合格后拨付20%，项目验收合格后拨付剩余经费。</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如果双方有约定的，按照合同约定。购买主体可以根据实际约定进行支付。</w:t>
      </w:r>
    </w:p>
    <w:p>
      <w:pPr>
        <w:keepNext w:val="0"/>
        <w:keepLines w:val="0"/>
        <w:pageBreakBefore w:val="0"/>
        <w:widowControl/>
        <w:kinsoku/>
        <w:wordWrap/>
        <w:overflowPunct/>
        <w:topLinePunct w:val="0"/>
        <w:autoSpaceDE/>
        <w:autoSpaceDN/>
        <w:bidi w:val="0"/>
        <w:adjustRightInd w:val="0"/>
        <w:snapToGrid w:val="0"/>
        <w:spacing w:line="360" w:lineRule="auto"/>
        <w:ind w:firstLine="627"/>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（六）合同履行</w:t>
      </w:r>
    </w:p>
    <w:p>
      <w:pPr>
        <w:keepNext w:val="0"/>
        <w:keepLines w:val="0"/>
        <w:pageBreakBefore w:val="0"/>
        <w:widowControl/>
        <w:kinsoku/>
        <w:wordWrap/>
        <w:overflowPunct/>
        <w:topLinePunct w:val="0"/>
        <w:autoSpaceDE/>
        <w:autoSpaceDN/>
        <w:bidi w:val="0"/>
        <w:adjustRightInd w:val="0"/>
        <w:snapToGrid w:val="0"/>
        <w:spacing w:line="360" w:lineRule="auto"/>
        <w:ind w:firstLine="72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1.组建项目工作小组</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项目承接主体在合同生效后应项目需要组建项目工作小组，配备专业社会工作者等工作人员。社会工作者是指取得全国社会工作者职业水平证书或具有社会工作专业大专及以上学历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在中国社会工作网上登记的</w:t>
      </w:r>
      <w:r>
        <w:rPr>
          <w:rFonts w:hint="eastAsia" w:ascii="仿宋" w:hAnsi="仿宋" w:eastAsia="仿宋" w:cs="仿宋"/>
          <w:color w:val="000000" w:themeColor="text1"/>
          <w:kern w:val="0"/>
          <w:sz w:val="32"/>
          <w:szCs w:val="32"/>
          <w:highlight w:val="none"/>
          <w14:textFill>
            <w14:solidFill>
              <w14:schemeClr w14:val="tx1"/>
            </w14:solidFill>
          </w14:textFill>
        </w:rPr>
        <w:t>人员。</w:t>
      </w:r>
    </w:p>
    <w:p>
      <w:pPr>
        <w:keepNext w:val="0"/>
        <w:keepLines w:val="0"/>
        <w:pageBreakBefore w:val="0"/>
        <w:widowControl/>
        <w:kinsoku/>
        <w:wordWrap/>
        <w:overflowPunct/>
        <w:topLinePunct w:val="0"/>
        <w:autoSpaceDE/>
        <w:autoSpaceDN/>
        <w:bidi w:val="0"/>
        <w:adjustRightInd w:val="0"/>
        <w:snapToGrid w:val="0"/>
        <w:spacing w:line="360" w:lineRule="auto"/>
        <w:ind w:firstLine="72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2.落实目标任务</w:t>
      </w:r>
    </w:p>
    <w:p>
      <w:pPr>
        <w:keepNext w:val="0"/>
        <w:keepLines w:val="0"/>
        <w:pageBreakBefore w:val="0"/>
        <w:widowControl/>
        <w:kinsoku/>
        <w:wordWrap/>
        <w:overflowPunct/>
        <w:topLinePunct w:val="0"/>
        <w:autoSpaceDE/>
        <w:autoSpaceDN/>
        <w:bidi w:val="0"/>
        <w:adjustRightInd w:val="0"/>
        <w:snapToGrid w:val="0"/>
        <w:spacing w:line="360" w:lineRule="auto"/>
        <w:ind w:firstLine="64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项目承接主体按照合同约定进行项目实施，并</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制定</w:t>
      </w:r>
      <w:r>
        <w:rPr>
          <w:rFonts w:hint="eastAsia" w:ascii="仿宋" w:hAnsi="仿宋" w:eastAsia="仿宋" w:cs="仿宋"/>
          <w:color w:val="000000" w:themeColor="text1"/>
          <w:kern w:val="0"/>
          <w:sz w:val="32"/>
          <w:szCs w:val="32"/>
          <w:highlight w:val="none"/>
          <w14:textFill>
            <w14:solidFill>
              <w14:schemeClr w14:val="tx1"/>
            </w14:solidFill>
          </w14:textFill>
        </w:rPr>
        <w:t>相应的项目管理制度，以保障项目顺利实施。</w:t>
      </w:r>
    </w:p>
    <w:p>
      <w:pPr>
        <w:keepNext w:val="0"/>
        <w:keepLines w:val="0"/>
        <w:pageBreakBefore w:val="0"/>
        <w:widowControl/>
        <w:kinsoku/>
        <w:wordWrap/>
        <w:overflowPunct/>
        <w:topLinePunct w:val="0"/>
        <w:autoSpaceDE/>
        <w:autoSpaceDN/>
        <w:bidi w:val="0"/>
        <w:adjustRightInd w:val="0"/>
        <w:snapToGrid w:val="0"/>
        <w:spacing w:line="360" w:lineRule="auto"/>
        <w:ind w:firstLine="660"/>
        <w:jc w:val="left"/>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（七）监管与评估</w:t>
      </w:r>
    </w:p>
    <w:p>
      <w:pPr>
        <w:keepNext w:val="0"/>
        <w:keepLines w:val="0"/>
        <w:pageBreakBefore w:val="0"/>
        <w:widowControl/>
        <w:kinsoku/>
        <w:wordWrap/>
        <w:overflowPunct/>
        <w:topLinePunct w:val="0"/>
        <w:autoSpaceDE/>
        <w:autoSpaceDN/>
        <w:bidi w:val="0"/>
        <w:adjustRightInd w:val="0"/>
        <w:snapToGrid w:val="0"/>
        <w:spacing w:line="360" w:lineRule="auto"/>
        <w:ind w:firstLine="72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1.监督与管理</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购买主体要切实加强过程监管，</w:t>
      </w:r>
      <w:r>
        <w:rPr>
          <w:rFonts w:hint="eastAsia" w:ascii="仿宋" w:hAnsi="仿宋" w:eastAsia="仿宋" w:cs="仿宋"/>
          <w:color w:val="000000" w:themeColor="text1"/>
          <w:sz w:val="32"/>
          <w:szCs w:val="32"/>
          <w:highlight w:val="none"/>
          <w:lang w:val="en-US" w:eastAsia="zh-CN"/>
          <w14:textFill>
            <w14:solidFill>
              <w14:schemeClr w14:val="tx1"/>
            </w14:solidFill>
          </w14:textFill>
        </w:rPr>
        <w:t>指定</w:t>
      </w:r>
      <w:r>
        <w:rPr>
          <w:rFonts w:hint="eastAsia" w:ascii="仿宋" w:hAnsi="仿宋" w:eastAsia="仿宋" w:cs="仿宋"/>
          <w:color w:val="000000" w:themeColor="text1"/>
          <w:sz w:val="32"/>
          <w:szCs w:val="32"/>
          <w:highlight w:val="none"/>
          <w14:textFill>
            <w14:solidFill>
              <w14:schemeClr w14:val="tx1"/>
            </w14:solidFill>
          </w14:textFill>
        </w:rPr>
        <w:t>专门联络人负责与项目承接方沟通与协调，按照政府购买社会工作服务项目合同要求，对专业服务过程、任务完成和资金使用情况等进行指导和监督，并建立由购买主体、服务对象及第三方专业评估机构组成的综合绩效评估机制，及时对已完成的社会服务项目进行绩效评价和结项验收。</w:t>
      </w:r>
      <w:r>
        <w:rPr>
          <w:rFonts w:hint="eastAsia" w:ascii="仿宋" w:hAnsi="仿宋" w:eastAsia="仿宋" w:cs="仿宋"/>
          <w:color w:val="000000" w:themeColor="text1"/>
          <w:kern w:val="0"/>
          <w:sz w:val="32"/>
          <w:szCs w:val="32"/>
          <w:highlight w:val="none"/>
          <w14:textFill>
            <w14:solidFill>
              <w14:schemeClr w14:val="tx1"/>
            </w14:solidFill>
          </w14:textFill>
        </w:rPr>
        <w:t>经双方协商，项目承接主体可以口头或书面形式向购买主体定期汇报项目进展情况。</w:t>
      </w:r>
    </w:p>
    <w:p>
      <w:pPr>
        <w:keepNext w:val="0"/>
        <w:keepLines w:val="0"/>
        <w:pageBreakBefore w:val="0"/>
        <w:widowControl/>
        <w:kinsoku/>
        <w:wordWrap/>
        <w:overflowPunct/>
        <w:topLinePunct w:val="0"/>
        <w:autoSpaceDE/>
        <w:autoSpaceDN/>
        <w:bidi w:val="0"/>
        <w:adjustRightInd w:val="0"/>
        <w:snapToGrid w:val="0"/>
        <w:spacing w:line="360" w:lineRule="auto"/>
        <w:ind w:firstLine="72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2.项目评估</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一般情况下，服务购买合同为一年一签。原则上，</w:t>
      </w:r>
      <w:r>
        <w:rPr>
          <w:rFonts w:hint="eastAsia" w:ascii="仿宋" w:hAnsi="仿宋" w:eastAsia="仿宋" w:cs="仿宋"/>
          <w:color w:val="000000" w:themeColor="text1"/>
          <w:kern w:val="0"/>
          <w:sz w:val="32"/>
          <w:szCs w:val="32"/>
          <w:highlight w:val="none"/>
          <w14:textFill>
            <w14:solidFill>
              <w14:schemeClr w14:val="tx1"/>
            </w14:solidFill>
          </w14:textFill>
        </w:rPr>
        <w:t>在项目中期和末期各开展1次专业评估，末期按要求开展财务评估或</w:t>
      </w:r>
      <w:bookmarkStart w:id="0" w:name="_GoBack"/>
      <w:bookmarkEnd w:id="0"/>
      <w:r>
        <w:rPr>
          <w:rFonts w:hint="eastAsia" w:ascii="仿宋" w:hAnsi="仿宋" w:eastAsia="仿宋" w:cs="仿宋"/>
          <w:color w:val="000000" w:themeColor="text1"/>
          <w:kern w:val="0"/>
          <w:sz w:val="32"/>
          <w:szCs w:val="32"/>
          <w:highlight w:val="none"/>
          <w14:textFill>
            <w14:solidFill>
              <w14:schemeClr w14:val="tx1"/>
            </w14:solidFill>
          </w14:textFill>
        </w:rPr>
        <w:t>审计工作。专业评估结果分优秀、良好、合格和不合格。专业评估</w:t>
      </w:r>
      <w:r>
        <w:rPr>
          <w:rFonts w:hint="eastAsia" w:ascii="仿宋" w:hAnsi="仿宋" w:eastAsia="仿宋" w:cs="仿宋"/>
          <w:color w:val="000000" w:themeColor="text1"/>
          <w:kern w:val="0"/>
          <w:sz w:val="32"/>
          <w:szCs w:val="32"/>
          <w14:textFill>
            <w14:solidFill>
              <w14:schemeClr w14:val="tx1"/>
            </w14:solidFill>
          </w14:textFill>
        </w:rPr>
        <w:t>、财务评估有一项为不合格的</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或</w:t>
      </w:r>
      <w:r>
        <w:rPr>
          <w:rFonts w:hint="eastAsia" w:ascii="仿宋" w:hAnsi="仿宋" w:eastAsia="仿宋" w:cs="仿宋"/>
          <w:color w:val="000000" w:themeColor="text1"/>
          <w:kern w:val="0"/>
          <w:sz w:val="32"/>
          <w:szCs w:val="32"/>
          <w14:textFill>
            <w14:solidFill>
              <w14:schemeClr w14:val="tx1"/>
            </w14:solidFill>
          </w14:textFill>
        </w:rPr>
        <w:t>财务审计</w:t>
      </w:r>
      <w:r>
        <w:rPr>
          <w:rFonts w:hint="eastAsia" w:ascii="仿宋" w:hAnsi="仿宋" w:eastAsia="仿宋" w:cs="仿宋"/>
          <w:color w:val="000000" w:themeColor="text1"/>
          <w:kern w:val="0"/>
          <w:sz w:val="32"/>
          <w:szCs w:val="32"/>
          <w:lang w:eastAsia="zh-CN"/>
          <w14:textFill>
            <w14:solidFill>
              <w14:schemeClr w14:val="tx1"/>
            </w14:solidFill>
          </w14:textFill>
        </w:rPr>
        <w:t>出现重大</w:t>
      </w:r>
      <w:r>
        <w:rPr>
          <w:rFonts w:hint="eastAsia" w:ascii="仿宋" w:hAnsi="仿宋" w:eastAsia="仿宋" w:cs="仿宋"/>
          <w:color w:val="000000" w:themeColor="text1"/>
          <w:kern w:val="0"/>
          <w:sz w:val="32"/>
          <w:szCs w:val="32"/>
          <w:lang w:val="en-US" w:eastAsia="zh-CN"/>
          <w14:textFill>
            <w14:solidFill>
              <w14:schemeClr w14:val="tx1"/>
            </w14:solidFill>
          </w14:textFill>
        </w:rPr>
        <w:t>纰漏的，如未按照资金来源要求，出现用于项目以外的支出或以任何形式挤占、截留、挪用项目资金的情况，则评估结果即为不合格，</w:t>
      </w:r>
    </w:p>
    <w:p>
      <w:pPr>
        <w:pStyle w:val="1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中期专业评估结果为合格的，令其限期提出</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改进</w:t>
      </w:r>
      <w:r>
        <w:rPr>
          <w:rFonts w:hint="eastAsia" w:ascii="仿宋" w:hAnsi="仿宋" w:eastAsia="仿宋" w:cs="仿宋"/>
          <w:color w:val="000000" w:themeColor="text1"/>
          <w:kern w:val="0"/>
          <w:sz w:val="32"/>
          <w:szCs w:val="32"/>
          <w:highlight w:val="none"/>
          <w14:textFill>
            <w14:solidFill>
              <w14:schemeClr w14:val="tx1"/>
            </w14:solidFill>
          </w14:textFill>
        </w:rPr>
        <w:t>方案并进行</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改进</w:t>
      </w:r>
      <w:r>
        <w:rPr>
          <w:rFonts w:hint="eastAsia" w:ascii="仿宋" w:hAnsi="仿宋" w:eastAsia="仿宋" w:cs="仿宋"/>
          <w:color w:val="000000" w:themeColor="text1"/>
          <w:kern w:val="0"/>
          <w:sz w:val="32"/>
          <w:szCs w:val="32"/>
          <w:highlight w:val="none"/>
          <w14:textFill>
            <w14:solidFill>
              <w14:schemeClr w14:val="tx1"/>
            </w14:solidFill>
          </w14:textFill>
        </w:rPr>
        <w:t>；中期专业评估结果为不合格的，责令其在1个月内进行整改；末期专业评估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结果</w:t>
      </w:r>
      <w:r>
        <w:rPr>
          <w:rFonts w:hint="eastAsia" w:ascii="仿宋" w:hAnsi="仿宋" w:eastAsia="仿宋" w:cs="仿宋"/>
          <w:color w:val="000000" w:themeColor="text1"/>
          <w:kern w:val="0"/>
          <w:sz w:val="32"/>
          <w:szCs w:val="32"/>
          <w:highlight w:val="none"/>
          <w14:textFill>
            <w14:solidFill>
              <w14:schemeClr w14:val="tx1"/>
            </w14:solidFill>
          </w14:textFill>
        </w:rPr>
        <w:t>为不合格的，取消该项目承接机构次年承接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政府购买社会服务项目资格；由于任务未完成导致不合格的，项目承接主体要继续提供服务直至完成</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该</w:t>
      </w:r>
      <w:r>
        <w:rPr>
          <w:rFonts w:hint="eastAsia" w:ascii="仿宋" w:hAnsi="仿宋" w:eastAsia="仿宋" w:cs="仿宋"/>
          <w:color w:val="000000" w:themeColor="text1"/>
          <w:kern w:val="0"/>
          <w:sz w:val="32"/>
          <w:szCs w:val="32"/>
          <w:highlight w:val="none"/>
          <w14:textFill>
            <w14:solidFill>
              <w14:schemeClr w14:val="tx1"/>
            </w14:solidFill>
          </w14:textFill>
        </w:rPr>
        <w:t>项目合同所约定任务。专业评估、财务评估有一项为不合格的</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或</w:t>
      </w:r>
      <w:r>
        <w:rPr>
          <w:rFonts w:hint="eastAsia" w:ascii="仿宋" w:hAnsi="仿宋" w:eastAsia="仿宋" w:cs="仿宋"/>
          <w:color w:val="000000" w:themeColor="text1"/>
          <w:kern w:val="0"/>
          <w:sz w:val="32"/>
          <w:szCs w:val="32"/>
          <w:highlight w:val="none"/>
          <w14:textFill>
            <w14:solidFill>
              <w14:schemeClr w14:val="tx1"/>
            </w14:solidFill>
          </w14:textFill>
        </w:rPr>
        <w:t>财务审计</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出现重大</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纰漏的，如未按照资金来源要求，出现用于项目以外的支出或以任何形式挤占、截留、挪用项目资金的情况，则评估结果即为不合格，经整改后仍然不合格，该承接主体及法人3年内不允许再承接福州市</w:t>
      </w:r>
      <w:r>
        <w:rPr>
          <w:rFonts w:hint="eastAsia" w:ascii="仿宋" w:hAnsi="仿宋" w:eastAsia="仿宋" w:cs="仿宋"/>
          <w:bCs w:val="0"/>
          <w:color w:val="000000" w:themeColor="text1"/>
          <w:kern w:val="0"/>
          <w:sz w:val="32"/>
          <w:szCs w:val="32"/>
          <w:highlight w:val="none"/>
          <w:lang w:val="en-US" w:eastAsia="zh-CN"/>
          <w14:textFill>
            <w14:solidFill>
              <w14:schemeClr w14:val="tx1"/>
            </w14:solidFill>
          </w14:textFill>
        </w:rPr>
        <w:t>民政领域政府</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购买社会工作服务的项目</w:t>
      </w:r>
      <w:r>
        <w:rPr>
          <w:rFonts w:hint="eastAsia" w:ascii="仿宋" w:hAnsi="仿宋" w:eastAsia="仿宋" w:cs="仿宋"/>
          <w:color w:val="000000" w:themeColor="text1"/>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（八）履约验收</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项目实施期满后，购买主体应当及时组织对合同履行情况进行验收，并与项目承接主体进行服务场地、服务资料等的交接工作。如需继续购买，应提前两个月按照流程组织采购工作，承接主体应做好项目持续开展的准备工作；对不再继续购买的项目，承接主体应做好项目结项和转接工作。如是由于购买主体的问题导致新一周期的合同未能及时签订并且未签订相关补充协议，但项目仍在持续运作，购买主体应按照上期采购标准进行验收后，对承接主体拨付相应的项目经费。</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（九）</w:t>
      </w:r>
      <w:r>
        <w:rPr>
          <w:rFonts w:hint="eastAsia" w:ascii="仿宋" w:hAnsi="仿宋" w:eastAsia="仿宋" w:cs="仿宋"/>
          <w:b/>
          <w:bCs/>
          <w:color w:val="000000" w:themeColor="text1"/>
          <w:kern w:val="0"/>
          <w:sz w:val="32"/>
          <w:szCs w:val="32"/>
          <w:highlight w:val="none"/>
          <w14:textFill>
            <w14:solidFill>
              <w14:schemeClr w14:val="tx1"/>
            </w14:solidFill>
          </w14:textFill>
        </w:rPr>
        <w:t>合</w:t>
      </w:r>
      <w:r>
        <w:rPr>
          <w:rFonts w:hint="eastAsia" w:ascii="仿宋" w:hAnsi="仿宋" w:eastAsia="仿宋" w:cs="仿宋"/>
          <w:b/>
          <w:color w:val="000000" w:themeColor="text1"/>
          <w:kern w:val="0"/>
          <w:sz w:val="32"/>
          <w:szCs w:val="32"/>
          <w:highlight w:val="none"/>
          <w14:textFill>
            <w14:solidFill>
              <w14:schemeClr w14:val="tx1"/>
            </w14:solidFill>
          </w14:textFill>
        </w:rPr>
        <w:t>同延续</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合同在中标资格有效期内，可根据评估验收结果和采购的相关规定进行延续。</w:t>
      </w:r>
      <w:r>
        <w:rPr>
          <w:rFonts w:hint="eastAsia" w:ascii="仿宋" w:hAnsi="仿宋" w:eastAsia="仿宋" w:cs="仿宋"/>
          <w:color w:val="000000" w:themeColor="text1"/>
          <w:kern w:val="0"/>
          <w:sz w:val="32"/>
          <w:szCs w:val="32"/>
          <w:highlight w:val="none"/>
          <w14:textFill>
            <w14:solidFill>
              <w14:schemeClr w14:val="tx1"/>
            </w14:solidFill>
          </w14:textFill>
        </w:rPr>
        <w:t>服务购买一个周期不超过3年（含3年），合同一年一签，末期评估成绩为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良好</w:t>
      </w:r>
      <w:r>
        <w:rPr>
          <w:rFonts w:hint="eastAsia" w:ascii="仿宋" w:hAnsi="仿宋" w:eastAsia="仿宋" w:cs="仿宋"/>
          <w:color w:val="000000" w:themeColor="text1"/>
          <w:kern w:val="0"/>
          <w:sz w:val="32"/>
          <w:szCs w:val="32"/>
          <w:highlight w:val="none"/>
          <w14:textFill>
            <w14:solidFill>
              <w14:schemeClr w14:val="tx1"/>
            </w14:solidFill>
          </w14:textFill>
        </w:rPr>
        <w:t>及以上的，进行下一年度的续签，以保证服务的延续性和成效。购买主体应于末期评估结果出来后20个工作日内</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，与承接机构</w:t>
      </w:r>
      <w:r>
        <w:rPr>
          <w:rFonts w:hint="eastAsia" w:ascii="仿宋" w:hAnsi="仿宋" w:eastAsia="仿宋" w:cs="仿宋"/>
          <w:color w:val="000000" w:themeColor="text1"/>
          <w:kern w:val="0"/>
          <w:sz w:val="32"/>
          <w:szCs w:val="32"/>
          <w:highlight w:val="none"/>
          <w14:textFill>
            <w14:solidFill>
              <w14:schemeClr w14:val="tx1"/>
            </w14:solidFill>
          </w14:textFill>
        </w:rPr>
        <w:t>沟通协调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确定下一期的社会工作服务购买方案，启动服务购买程序，实现新旧周期项目服务的无缝衔接，推进社会工作服务的延续性。</w:t>
      </w:r>
    </w:p>
    <w:p>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本操作规程自印发之日起施行，非政府资金可参照使用。</w:t>
      </w:r>
    </w:p>
    <w:p>
      <w:pPr>
        <w:rPr>
          <w:rFonts w:hint="eastAsia" w:ascii="仿宋" w:hAnsi="仿宋" w:eastAsia="仿宋" w:cs="仿宋"/>
          <w:color w:val="000000" w:themeColor="text1"/>
          <w:kern w:val="0"/>
          <w:sz w:val="32"/>
          <w:szCs w:val="32"/>
          <w:highlight w:val="none"/>
          <w14:textFill>
            <w14:solidFill>
              <w14:schemeClr w14:val="tx1"/>
            </w14:solidFill>
          </w14:textFill>
        </w:rPr>
      </w:pPr>
    </w:p>
    <w:sectPr>
      <w:footerReference r:id="rId4" w:type="default"/>
      <w:footnotePr>
        <w:numFmt w:val="decimal"/>
      </w:footnote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9"/>
        <w:jc w:val="both"/>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pP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t>[</w:t>
      </w: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footnoteRef/>
      </w: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t>] MZ/T 094—2017  中华人民共和国民政行业标准:个案工作</w:t>
      </w:r>
    </w:p>
    <w:p>
      <w:pPr>
        <w:pStyle w:val="7"/>
        <w:snapToGrid w:val="0"/>
      </w:pPr>
    </w:p>
  </w:footnote>
  <w:footnote w:id="1">
    <w:p>
      <w:pPr>
        <w:pStyle w:val="7"/>
        <w:keepLines w:val="0"/>
        <w:pageBreakBefore w:val="0"/>
        <w:kinsoku/>
        <w:wordWrap/>
        <w:overflowPunct/>
        <w:topLinePunct w:val="0"/>
        <w:autoSpaceDE/>
        <w:autoSpaceDN/>
        <w:bidi w:val="0"/>
        <w:adjustRightInd/>
        <w:snapToGrid w:val="0"/>
        <w:spacing w:line="240" w:lineRule="auto"/>
        <w:textAlignment w:val="auto"/>
      </w:pP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t>[</w:t>
      </w: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footnoteRef/>
      </w: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t xml:space="preserve">] </w:t>
      </w:r>
      <w:r>
        <w:t xml:space="preserve"> </w:t>
      </w: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t>MZ/T 095—2017  中华人民共和国民政行业标准:小组工作</w:t>
      </w:r>
    </w:p>
  </w:footnote>
  <w:footnote w:id="2">
    <w:p>
      <w:pPr>
        <w:pStyle w:val="20"/>
        <w:keepLines w:val="0"/>
        <w:pageBreakBefore w:val="0"/>
        <w:numPr>
          <w:ilvl w:val="0"/>
          <w:numId w:val="0"/>
        </w:numPr>
        <w:kinsoku/>
        <w:wordWrap/>
        <w:overflowPunct/>
        <w:topLinePunct w:val="0"/>
        <w:autoSpaceDE/>
        <w:autoSpaceDN/>
        <w:bidi w:val="0"/>
        <w:adjustRightInd/>
        <w:spacing w:before="0" w:after="0" w:line="240" w:lineRule="auto"/>
        <w:jc w:val="left"/>
        <w:textAlignment w:val="auto"/>
        <w:rPr>
          <w:rFonts w:hint="eastAsia"/>
          <w:sz w:val="22"/>
        </w:rPr>
      </w:pP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t>[</w:t>
      </w: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footnoteRef/>
      </w:r>
      <w:r>
        <w:rPr>
          <w:rFonts w:hint="eastAsia" w:ascii="仿宋" w:hAnsi="仿宋" w:eastAsia="仿宋" w:cs="仿宋"/>
          <w:color w:val="000000" w:themeColor="text1"/>
          <w:spacing w:val="0"/>
          <w:kern w:val="0"/>
          <w:sz w:val="20"/>
          <w:szCs w:val="20"/>
          <w:lang w:val="en-US" w:eastAsia="zh-CN" w:bidi="ar-SA"/>
          <w14:textFill>
            <w14:solidFill>
              <w14:schemeClr w14:val="tx1"/>
            </w14:solidFill>
          </w14:textFill>
        </w:rPr>
        <w:t>] 福建省民政厅2012年发布的福建省地方标准《社区社会工作通用要求》</w:t>
      </w:r>
    </w:p>
    <w:p>
      <w:pPr>
        <w:pStyle w:val="7"/>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20"/>
      <w:suff w:val="nothing"/>
      <w:lvlText w:val="附　录　%1"/>
      <w:lvlJc w:val="left"/>
      <w:pPr>
        <w:ind w:left="4095"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footnotePr>
    <w:footnote w:id="6"/>
    <w:footnote w:id="7"/>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OWQzYmM3ZjAwMTAyNTA2OTg2NjU0NDNjNGFmZTIifQ=="/>
  </w:docVars>
  <w:rsids>
    <w:rsidRoot w:val="4BF92790"/>
    <w:rsid w:val="000003CB"/>
    <w:rsid w:val="0001681A"/>
    <w:rsid w:val="000627C0"/>
    <w:rsid w:val="000903A7"/>
    <w:rsid w:val="00090BA0"/>
    <w:rsid w:val="000A3006"/>
    <w:rsid w:val="000B76A8"/>
    <w:rsid w:val="000F58DE"/>
    <w:rsid w:val="0012486A"/>
    <w:rsid w:val="00147670"/>
    <w:rsid w:val="00173B5D"/>
    <w:rsid w:val="001823ED"/>
    <w:rsid w:val="001831A7"/>
    <w:rsid w:val="00184B0D"/>
    <w:rsid w:val="00187E85"/>
    <w:rsid w:val="001D1483"/>
    <w:rsid w:val="001D154E"/>
    <w:rsid w:val="001E4509"/>
    <w:rsid w:val="001E4E8C"/>
    <w:rsid w:val="001F593C"/>
    <w:rsid w:val="00222E38"/>
    <w:rsid w:val="00227719"/>
    <w:rsid w:val="002F582A"/>
    <w:rsid w:val="0031201B"/>
    <w:rsid w:val="00315BC1"/>
    <w:rsid w:val="0034394B"/>
    <w:rsid w:val="0035073F"/>
    <w:rsid w:val="003743B3"/>
    <w:rsid w:val="003933F0"/>
    <w:rsid w:val="003C7A62"/>
    <w:rsid w:val="003D4DF0"/>
    <w:rsid w:val="003D7EAB"/>
    <w:rsid w:val="003E344B"/>
    <w:rsid w:val="00402E1D"/>
    <w:rsid w:val="00403297"/>
    <w:rsid w:val="004262D6"/>
    <w:rsid w:val="004539D0"/>
    <w:rsid w:val="00460916"/>
    <w:rsid w:val="004804E3"/>
    <w:rsid w:val="0048754E"/>
    <w:rsid w:val="004940A0"/>
    <w:rsid w:val="004951E5"/>
    <w:rsid w:val="004B2B44"/>
    <w:rsid w:val="005252B6"/>
    <w:rsid w:val="00536D50"/>
    <w:rsid w:val="005701BC"/>
    <w:rsid w:val="00573135"/>
    <w:rsid w:val="005B1EC9"/>
    <w:rsid w:val="0061101B"/>
    <w:rsid w:val="00687532"/>
    <w:rsid w:val="006B6D46"/>
    <w:rsid w:val="00736C7F"/>
    <w:rsid w:val="007408EF"/>
    <w:rsid w:val="00742AE6"/>
    <w:rsid w:val="007771BB"/>
    <w:rsid w:val="00782A12"/>
    <w:rsid w:val="007C7256"/>
    <w:rsid w:val="0082657E"/>
    <w:rsid w:val="0083476F"/>
    <w:rsid w:val="00856013"/>
    <w:rsid w:val="00880F35"/>
    <w:rsid w:val="00882CBB"/>
    <w:rsid w:val="0089184F"/>
    <w:rsid w:val="00896121"/>
    <w:rsid w:val="008C5866"/>
    <w:rsid w:val="008C7B98"/>
    <w:rsid w:val="008F0F2C"/>
    <w:rsid w:val="0090456A"/>
    <w:rsid w:val="00947637"/>
    <w:rsid w:val="00994C49"/>
    <w:rsid w:val="009A190A"/>
    <w:rsid w:val="00A3442B"/>
    <w:rsid w:val="00AA694B"/>
    <w:rsid w:val="00AA7093"/>
    <w:rsid w:val="00AB2766"/>
    <w:rsid w:val="00AC5C72"/>
    <w:rsid w:val="00AD186C"/>
    <w:rsid w:val="00B01A63"/>
    <w:rsid w:val="00B26D6B"/>
    <w:rsid w:val="00B31C5D"/>
    <w:rsid w:val="00B43F6F"/>
    <w:rsid w:val="00BA4CE1"/>
    <w:rsid w:val="00BA682A"/>
    <w:rsid w:val="00C963E4"/>
    <w:rsid w:val="00CA685C"/>
    <w:rsid w:val="00CF5226"/>
    <w:rsid w:val="00D049BE"/>
    <w:rsid w:val="00D5037C"/>
    <w:rsid w:val="00D53B35"/>
    <w:rsid w:val="00D65519"/>
    <w:rsid w:val="00D77522"/>
    <w:rsid w:val="00DA413E"/>
    <w:rsid w:val="00E0056A"/>
    <w:rsid w:val="00E0588F"/>
    <w:rsid w:val="00E22E2A"/>
    <w:rsid w:val="00E40B3F"/>
    <w:rsid w:val="00E75A1C"/>
    <w:rsid w:val="00EB6FD4"/>
    <w:rsid w:val="00EE0B4F"/>
    <w:rsid w:val="00F15D45"/>
    <w:rsid w:val="00F252B1"/>
    <w:rsid w:val="00F44671"/>
    <w:rsid w:val="00F830CF"/>
    <w:rsid w:val="00F97E57"/>
    <w:rsid w:val="01C44413"/>
    <w:rsid w:val="02B0711F"/>
    <w:rsid w:val="02C05DF0"/>
    <w:rsid w:val="0324060A"/>
    <w:rsid w:val="06166BE0"/>
    <w:rsid w:val="09E94B25"/>
    <w:rsid w:val="0B1A5D9B"/>
    <w:rsid w:val="0B2F50A1"/>
    <w:rsid w:val="0C2F62AA"/>
    <w:rsid w:val="0C31436C"/>
    <w:rsid w:val="11054870"/>
    <w:rsid w:val="11910ED4"/>
    <w:rsid w:val="123D0DEF"/>
    <w:rsid w:val="14B76DE3"/>
    <w:rsid w:val="14F374A3"/>
    <w:rsid w:val="15110DC2"/>
    <w:rsid w:val="16B46F7D"/>
    <w:rsid w:val="17FA0AD1"/>
    <w:rsid w:val="18164782"/>
    <w:rsid w:val="19445D19"/>
    <w:rsid w:val="1ACF0D28"/>
    <w:rsid w:val="1D537EED"/>
    <w:rsid w:val="1D9A4673"/>
    <w:rsid w:val="20D36179"/>
    <w:rsid w:val="22F96AD0"/>
    <w:rsid w:val="232F62BD"/>
    <w:rsid w:val="245F7A6D"/>
    <w:rsid w:val="278A7DE0"/>
    <w:rsid w:val="29A710E6"/>
    <w:rsid w:val="2B147F37"/>
    <w:rsid w:val="2CF3487A"/>
    <w:rsid w:val="2DEE1518"/>
    <w:rsid w:val="2E883F43"/>
    <w:rsid w:val="2FAB5589"/>
    <w:rsid w:val="33360261"/>
    <w:rsid w:val="34956BAA"/>
    <w:rsid w:val="37283148"/>
    <w:rsid w:val="3A227205"/>
    <w:rsid w:val="3EF71839"/>
    <w:rsid w:val="3F14589F"/>
    <w:rsid w:val="3F55579E"/>
    <w:rsid w:val="422B3CF4"/>
    <w:rsid w:val="43156635"/>
    <w:rsid w:val="465A5DD2"/>
    <w:rsid w:val="47FE3A70"/>
    <w:rsid w:val="4AAA0BDA"/>
    <w:rsid w:val="4B904165"/>
    <w:rsid w:val="4BF92790"/>
    <w:rsid w:val="4C501C74"/>
    <w:rsid w:val="4F3C3401"/>
    <w:rsid w:val="51221B51"/>
    <w:rsid w:val="53DC40E6"/>
    <w:rsid w:val="546D5165"/>
    <w:rsid w:val="5513203B"/>
    <w:rsid w:val="559C7543"/>
    <w:rsid w:val="56900818"/>
    <w:rsid w:val="58C16652"/>
    <w:rsid w:val="58E05E5F"/>
    <w:rsid w:val="5AD56E8F"/>
    <w:rsid w:val="5ADE2678"/>
    <w:rsid w:val="5B4F01E0"/>
    <w:rsid w:val="5B5B2B92"/>
    <w:rsid w:val="5C5D6FA8"/>
    <w:rsid w:val="5CA83DCF"/>
    <w:rsid w:val="60FB428B"/>
    <w:rsid w:val="66A66E8C"/>
    <w:rsid w:val="6771602A"/>
    <w:rsid w:val="679E0162"/>
    <w:rsid w:val="6AF8566D"/>
    <w:rsid w:val="6D5411DC"/>
    <w:rsid w:val="6DF47DC9"/>
    <w:rsid w:val="6EC30382"/>
    <w:rsid w:val="6F2474E3"/>
    <w:rsid w:val="757D1D3C"/>
    <w:rsid w:val="7784259E"/>
    <w:rsid w:val="77D82F12"/>
    <w:rsid w:val="79992645"/>
    <w:rsid w:val="7AEA0C72"/>
    <w:rsid w:val="7B022870"/>
    <w:rsid w:val="7B6246D6"/>
    <w:rsid w:val="7D2A46D9"/>
    <w:rsid w:val="7D37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ind w:left="180" w:leftChars="75" w:right="-82" w:rightChars="-34"/>
      <w:jc w:val="left"/>
    </w:pPr>
    <w:rPr>
      <w:rFonts w:ascii="宋体" w:hAnsi="宋体"/>
      <w:b/>
      <w:bCs/>
      <w:caps/>
      <w:szCs w:val="21"/>
    </w:rPr>
  </w:style>
  <w:style w:type="paragraph" w:styleId="3">
    <w:name w:val="annotation text"/>
    <w:basedOn w:val="1"/>
    <w:link w:val="17"/>
    <w:qFormat/>
    <w:uiPriority w:val="0"/>
    <w:pPr>
      <w:jc w:val="left"/>
    </w:pPr>
    <w:rPr>
      <w:rFonts w:ascii="Times New Roman" w:hAnsi="Times New Roman" w:eastAsia="宋体" w:cs="Times New Roman"/>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Autospacing="1" w:afterAutospacing="1"/>
      <w:jc w:val="left"/>
    </w:pPr>
    <w:rPr>
      <w:rFonts w:ascii="Times New Roman" w:hAnsi="Times New Roman" w:eastAsia="宋体" w:cs="Times New Roman"/>
      <w:kern w:val="0"/>
      <w:sz w:val="24"/>
    </w:rPr>
  </w:style>
  <w:style w:type="character" w:styleId="11">
    <w:name w:val="Hyperlink"/>
    <w:basedOn w:val="10"/>
    <w:qFormat/>
    <w:uiPriority w:val="0"/>
    <w:rPr>
      <w:rFonts w:ascii="Arial" w:hAnsi="Arial" w:cs="Arial"/>
      <w:color w:val="000000"/>
      <w:u w:val="none"/>
    </w:rPr>
  </w:style>
  <w:style w:type="character" w:styleId="12">
    <w:name w:val="annotation reference"/>
    <w:basedOn w:val="10"/>
    <w:qFormat/>
    <w:uiPriority w:val="0"/>
    <w:rPr>
      <w:sz w:val="21"/>
      <w:szCs w:val="21"/>
    </w:rPr>
  </w:style>
  <w:style w:type="character" w:styleId="13">
    <w:name w:val="footnote reference"/>
    <w:basedOn w:val="10"/>
    <w:qFormat/>
    <w:uiPriority w:val="0"/>
    <w:rPr>
      <w:vertAlign w:val="superscript"/>
    </w:rPr>
  </w:style>
  <w:style w:type="paragraph" w:customStyle="1" w:styleId="14">
    <w:name w:val="列出段落1"/>
    <w:basedOn w:val="1"/>
    <w:unhideWhenUsed/>
    <w:qFormat/>
    <w:uiPriority w:val="99"/>
    <w:pPr>
      <w:ind w:firstLine="420" w:firstLineChars="200"/>
    </w:pPr>
  </w:style>
  <w:style w:type="paragraph" w:customStyle="1" w:styleId="15">
    <w:name w:val="默认段落字体 Para Char"/>
    <w:basedOn w:val="1"/>
    <w:qFormat/>
    <w:uiPriority w:val="0"/>
    <w:pPr>
      <w:adjustRightInd w:val="0"/>
      <w:spacing w:line="360" w:lineRule="auto"/>
    </w:pPr>
    <w:rPr>
      <w:rFonts w:ascii="Times New Roman" w:hAnsi="Times New Roman" w:eastAsia="宋体" w:cs="Times New Roman"/>
      <w:kern w:val="0"/>
      <w:szCs w:val="20"/>
    </w:rPr>
  </w:style>
  <w:style w:type="character" w:customStyle="1" w:styleId="16">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7">
    <w:name w:val="批注文字 Char"/>
    <w:basedOn w:val="10"/>
    <w:link w:val="3"/>
    <w:qFormat/>
    <w:uiPriority w:val="0"/>
    <w:rPr>
      <w:kern w:val="2"/>
      <w:sz w:val="21"/>
      <w:szCs w:val="24"/>
    </w:rPr>
  </w:style>
  <w:style w:type="paragraph" w:customStyle="1" w:styleId="18">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附录标识"/>
    <w:basedOn w:val="1"/>
    <w:next w:val="2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9D9BC-261B-4B57-931C-7C38FFEBA88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5132</Words>
  <Characters>5214</Characters>
  <Lines>34</Lines>
  <Paragraphs>9</Paragraphs>
  <TotalTime>3</TotalTime>
  <ScaleCrop>false</ScaleCrop>
  <LinksUpToDate>false</LinksUpToDate>
  <CharactersWithSpaces>5222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2019-12-17T11:09:00Z</dcterms:created>
  <dc:creator>Administrator</dc:creator>
  <cp:lastModifiedBy>林钦燕</cp:lastModifiedBy>
  <cp:lastPrinted>2019-08-23T08:03:00Z</cp:lastPrinted>
  <dcterms:modified xsi:type="dcterms:W3CDTF">2023-08-01T00:05:39Z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20F6082E0FA746ECB41902D533F5363B_13</vt:lpwstr>
  </property>
</Properties>
</file>