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260" w:firstLineChars="600"/>
      </w:pPr>
      <w:bookmarkStart w:id="0" w:name="_GoBack"/>
      <w:bookmarkEnd w:id="0"/>
    </w:p>
    <w:p>
      <w:pPr>
        <w:jc w:val="both"/>
        <w:rPr>
          <w:rFonts w:hint="default" w:ascii="方正小标宋_GBK" w:hAnsi="方正小标宋_GBK" w:eastAsia="方正小标宋_GBK" w:cs="方正小标宋_GBK"/>
          <w:sz w:val="32"/>
          <w:szCs w:val="32"/>
          <w:lang w:val="en-US" w:eastAsia="zh-CN"/>
        </w:rPr>
      </w:pPr>
      <w:r>
        <w:rPr>
          <w:rFonts w:hint="eastAsia" w:ascii="方正小标宋_GBK" w:hAnsi="方正小标宋_GBK" w:eastAsia="方正小标宋_GBK" w:cs="方正小标宋_GBK"/>
          <w:sz w:val="32"/>
          <w:szCs w:val="32"/>
          <w:lang w:eastAsia="zh-CN"/>
        </w:rPr>
        <w:t>附件</w:t>
      </w:r>
      <w:r>
        <w:rPr>
          <w:rFonts w:hint="eastAsia" w:ascii="方正小标宋_GBK" w:hAnsi="方正小标宋_GBK" w:eastAsia="方正小标宋_GBK" w:cs="方正小标宋_GBK"/>
          <w:sz w:val="32"/>
          <w:szCs w:val="32"/>
          <w:lang w:val="en-US" w:eastAsia="zh-CN"/>
        </w:rPr>
        <w:t>1</w:t>
      </w:r>
    </w:p>
    <w:p>
      <w:pPr>
        <w:jc w:val="center"/>
        <w:rPr>
          <w:rFonts w:hint="eastAsia" w:ascii="方正小标宋_GBK" w:hAnsi="方正小标宋_GBK" w:eastAsia="方正小标宋_GBK" w:cs="方正小标宋_GBK"/>
          <w:sz w:val="36"/>
          <w:szCs w:val="36"/>
        </w:rPr>
      </w:pPr>
    </w:p>
    <w:p>
      <w:pPr>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《福州市殡葬服务非基础项目清单</w:t>
      </w:r>
      <w:r>
        <w:rPr>
          <w:rFonts w:hint="eastAsia" w:ascii="方正小标宋_GBK" w:hAnsi="方正小标宋_GBK" w:eastAsia="方正小标宋_GBK" w:cs="方正小标宋_GBK"/>
          <w:sz w:val="36"/>
          <w:szCs w:val="36"/>
          <w:lang w:eastAsia="zh-CN"/>
        </w:rPr>
        <w:t>（征求意见稿）</w:t>
      </w:r>
      <w:r>
        <w:rPr>
          <w:rFonts w:hint="eastAsia" w:ascii="方正小标宋_GBK" w:hAnsi="方正小标宋_GBK" w:eastAsia="方正小标宋_GBK" w:cs="方正小标宋_GBK"/>
          <w:sz w:val="36"/>
          <w:szCs w:val="36"/>
        </w:rPr>
        <w:t>》</w:t>
      </w:r>
    </w:p>
    <w:p>
      <w:pPr>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起草说明</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为规范全市殡葬服务收费行为，落实殡葬服务项目清单化管理，保障丧属知情权、选择权，杜绝强制捆绑消费、隐形收费，我局牵头起草《福州市殡葬服务非基础项目清单</w:t>
      </w:r>
      <w:r>
        <w:rPr>
          <w:rFonts w:hint="eastAsia" w:ascii="仿宋_GB2312" w:hAnsi="仿宋_GB2312" w:eastAsia="仿宋_GB2312" w:cs="仿宋_GB2312"/>
          <w:sz w:val="32"/>
          <w:szCs w:val="32"/>
          <w:lang w:eastAsia="zh-CN"/>
        </w:rPr>
        <w:t>（征求意见稿）</w:t>
      </w:r>
      <w:r>
        <w:rPr>
          <w:rFonts w:hint="eastAsia" w:ascii="仿宋_GB2312" w:hAnsi="仿宋_GB2312" w:eastAsia="仿宋_GB2312" w:cs="仿宋_GB2312"/>
          <w:sz w:val="32"/>
          <w:szCs w:val="32"/>
        </w:rPr>
        <w:t xml:space="preserve">》（以下简称《清单》）。现将有关情况说明如下： </w:t>
      </w:r>
    </w:p>
    <w:p>
      <w:pPr>
        <w:keepNext w:val="0"/>
        <w:keepLines w:val="0"/>
        <w:pageBreakBefore w:val="0"/>
        <w:widowControl w:val="0"/>
        <w:kinsoku/>
        <w:wordWrap/>
        <w:overflowPunct/>
        <w:topLinePunct w:val="0"/>
        <w:autoSpaceDE/>
        <w:autoSpaceDN w:val="0"/>
        <w:bidi w:val="0"/>
        <w:adjustRightInd/>
        <w:snapToGrid/>
        <w:spacing w:line="560" w:lineRule="exact"/>
        <w:textAlignment w:val="auto"/>
        <w:outlineLvl w:val="0"/>
        <w:rPr>
          <w:rFonts w:hint="eastAsia" w:ascii="黑体" w:hAnsi="黑体" w:eastAsia="黑体" w:cs="黑体"/>
          <w:color w:val="333333"/>
          <w:sz w:val="32"/>
          <w:szCs w:val="32"/>
          <w:lang w:eastAsia="zh-CN"/>
        </w:rPr>
      </w:pPr>
      <w:r>
        <w:rPr>
          <w:rFonts w:hint="eastAsia" w:ascii="黑体" w:hAnsi="黑体" w:eastAsia="黑体" w:cs="黑体"/>
          <w:color w:val="333333"/>
          <w:sz w:val="32"/>
          <w:szCs w:val="32"/>
        </w:rPr>
        <w:t xml:space="preserve"> </w:t>
      </w:r>
      <w:r>
        <w:rPr>
          <w:rFonts w:hint="eastAsia" w:ascii="黑体" w:hAnsi="黑体" w:eastAsia="黑体" w:cs="黑体"/>
          <w:color w:val="333333"/>
          <w:sz w:val="32"/>
          <w:szCs w:val="32"/>
          <w:lang w:val="en-US" w:eastAsia="zh-CN"/>
        </w:rPr>
        <w:t xml:space="preserve">  </w:t>
      </w:r>
      <w:r>
        <w:rPr>
          <w:rFonts w:hint="eastAsia" w:ascii="黑体" w:hAnsi="黑体" w:eastAsia="黑体" w:cs="黑体"/>
          <w:color w:val="333333"/>
          <w:sz w:val="32"/>
          <w:szCs w:val="32"/>
        </w:rPr>
        <w:t xml:space="preserve"> 一、</w:t>
      </w:r>
      <w:r>
        <w:rPr>
          <w:rFonts w:hint="eastAsia" w:ascii="黑体" w:hAnsi="黑体" w:eastAsia="黑体" w:cs="黑体"/>
          <w:color w:val="333333"/>
          <w:sz w:val="32"/>
          <w:szCs w:val="32"/>
          <w:lang w:eastAsia="zh-CN"/>
        </w:rPr>
        <w:t>关于必要性的说明</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2026年3月30日起，国务院新修订的</w:t>
      </w:r>
      <w:r>
        <w:rPr>
          <w:rFonts w:hint="eastAsia" w:ascii="仿宋_GB2312" w:hAnsi="仿宋_GB2312" w:eastAsia="仿宋_GB2312" w:cs="仿宋_GB2312"/>
          <w:sz w:val="32"/>
          <w:szCs w:val="32"/>
        </w:rPr>
        <w:t>《殡葬管理条例》</w:t>
      </w:r>
      <w:r>
        <w:rPr>
          <w:rFonts w:hint="eastAsia" w:ascii="仿宋_GB2312" w:hAnsi="仿宋_GB2312" w:eastAsia="仿宋_GB2312" w:cs="仿宋_GB2312"/>
          <w:sz w:val="32"/>
          <w:szCs w:val="32"/>
          <w:lang w:eastAsia="zh-CN"/>
        </w:rPr>
        <w:t>正式施行，明确了殡葬服务分为基础项目和非基础项目，规定非基础项目清单由设区的市级以上地方人民政府民政部门会同有关部门合理确定。</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2026年1月26日，</w:t>
      </w:r>
      <w:r>
        <w:rPr>
          <w:rFonts w:hint="eastAsia" w:ascii="仿宋_GB2312" w:hAnsi="仿宋_GB2312" w:eastAsia="仿宋_GB2312" w:cs="仿宋_GB2312"/>
          <w:sz w:val="32"/>
          <w:szCs w:val="32"/>
        </w:rPr>
        <w:t>国家发展</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改革</w:t>
      </w:r>
      <w:r>
        <w:rPr>
          <w:rFonts w:hint="eastAsia" w:ascii="仿宋_GB2312" w:hAnsi="仿宋_GB2312" w:eastAsia="仿宋_GB2312" w:cs="仿宋_GB2312"/>
          <w:sz w:val="32"/>
          <w:szCs w:val="32"/>
          <w:lang w:eastAsia="zh-CN"/>
        </w:rPr>
        <w:t>委员会</w:t>
      </w:r>
      <w:r>
        <w:rPr>
          <w:rFonts w:hint="eastAsia" w:ascii="仿宋_GB2312" w:hAnsi="仿宋_GB2312" w:eastAsia="仿宋_GB2312" w:cs="仿宋_GB2312"/>
          <w:sz w:val="32"/>
          <w:szCs w:val="32"/>
        </w:rPr>
        <w:t>、民政部、财政部</w:t>
      </w:r>
      <w:r>
        <w:rPr>
          <w:rFonts w:hint="eastAsia" w:ascii="仿宋_GB2312" w:hAnsi="仿宋_GB2312" w:eastAsia="仿宋_GB2312" w:cs="仿宋_GB2312"/>
          <w:sz w:val="32"/>
          <w:szCs w:val="32"/>
          <w:lang w:eastAsia="zh-CN"/>
        </w:rPr>
        <w:t>印发的《</w:t>
      </w:r>
      <w:r>
        <w:rPr>
          <w:rFonts w:hint="eastAsia" w:ascii="仿宋_GB2312" w:hAnsi="仿宋_GB2312" w:eastAsia="仿宋_GB2312" w:cs="仿宋_GB2312"/>
          <w:sz w:val="32"/>
          <w:szCs w:val="32"/>
        </w:rPr>
        <w:t>关于进一步完善殡葬服务收费政策的通知》</w:t>
      </w:r>
      <w:r>
        <w:rPr>
          <w:rFonts w:hint="eastAsia" w:ascii="仿宋_GB2312" w:hAnsi="仿宋_GB2312" w:eastAsia="仿宋_GB2312" w:cs="仿宋_GB2312"/>
          <w:sz w:val="32"/>
          <w:szCs w:val="32"/>
          <w:lang w:eastAsia="zh-CN"/>
        </w:rPr>
        <w:t>（发改价格〔</w:t>
      </w: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108号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也明确了</w:t>
      </w:r>
      <w:r>
        <w:rPr>
          <w:rFonts w:hint="eastAsia" w:ascii="仿宋_GB2312" w:hAnsi="仿宋_GB2312" w:eastAsia="仿宋_GB2312" w:cs="仿宋_GB2312"/>
          <w:sz w:val="32"/>
          <w:szCs w:val="32"/>
        </w:rPr>
        <w:t>殡葬服务</w:t>
      </w:r>
      <w:r>
        <w:rPr>
          <w:rFonts w:hint="eastAsia" w:ascii="仿宋_GB2312" w:hAnsi="仿宋_GB2312" w:eastAsia="仿宋_GB2312" w:cs="仿宋_GB2312"/>
          <w:sz w:val="32"/>
          <w:szCs w:val="32"/>
          <w:lang w:eastAsia="zh-CN"/>
        </w:rPr>
        <w:t>（包括殡仪服务和安葬服务）</w:t>
      </w:r>
      <w:r>
        <w:rPr>
          <w:rFonts w:hint="eastAsia" w:ascii="仿宋_GB2312" w:hAnsi="仿宋_GB2312" w:eastAsia="仿宋_GB2312" w:cs="仿宋_GB2312"/>
          <w:sz w:val="32"/>
          <w:szCs w:val="32"/>
        </w:rPr>
        <w:t>分为基础项目和非基础项目</w:t>
      </w:r>
      <w:r>
        <w:rPr>
          <w:rFonts w:hint="eastAsia" w:ascii="仿宋_GB2312" w:hAnsi="仿宋_GB2312" w:eastAsia="仿宋_GB2312" w:cs="仿宋_GB2312"/>
          <w:sz w:val="32"/>
          <w:szCs w:val="32"/>
          <w:lang w:eastAsia="zh-CN"/>
        </w:rPr>
        <w:t>，要求非基础项目由地级及以上地方人民政府民政部门根据当地群众需求合理确定，明确收费标准参考区间，引导殡葬服务机构合理收费。</w:t>
      </w:r>
      <w:r>
        <w:rPr>
          <w:rFonts w:hint="eastAsia" w:ascii="仿宋_GB2312" w:hAnsi="仿宋_GB2312" w:eastAsia="仿宋_GB2312" w:cs="仿宋_GB2312"/>
          <w:sz w:val="32"/>
          <w:szCs w:val="32"/>
        </w:rPr>
        <w:t xml:space="preserve"> </w:t>
      </w:r>
    </w:p>
    <w:p>
      <w:pPr>
        <w:pStyle w:val="7"/>
        <w:rPr>
          <w:rFonts w:hint="eastAsia" w:eastAsia="仿宋_GB2312"/>
          <w:lang w:eastAsia="zh-CN"/>
        </w:rPr>
      </w:pPr>
      <w:r>
        <w:rPr>
          <w:rFonts w:hint="eastAsia" w:ascii="仿宋_GB2312" w:hAnsi="仿宋_GB2312" w:eastAsia="仿宋_GB2312" w:cs="仿宋_GB2312"/>
          <w:sz w:val="32"/>
          <w:szCs w:val="32"/>
          <w:lang w:eastAsia="zh-CN"/>
        </w:rPr>
        <w:t>为贯彻落实《殡葬管理条例》关于收费有关规定及国家、省级相关文件要求，市民政局会同市发改委、市财政局、市市场监管局研究制定了《清单》。</w:t>
      </w:r>
    </w:p>
    <w:p>
      <w:pPr>
        <w:ind w:firstLine="640" w:firstLineChars="200"/>
        <w:rPr>
          <w:rFonts w:hint="eastAsia" w:ascii="国标黑体" w:hAnsi="国标黑体" w:eastAsia="国标黑体" w:cs="国标黑体"/>
          <w:sz w:val="32"/>
          <w:szCs w:val="32"/>
          <w:lang w:eastAsia="zh-CN"/>
        </w:rPr>
      </w:pPr>
      <w:r>
        <w:rPr>
          <w:rFonts w:hint="eastAsia" w:ascii="国标黑体" w:hAnsi="国标黑体" w:eastAsia="国标黑体" w:cs="国标黑体"/>
          <w:sz w:val="32"/>
          <w:szCs w:val="32"/>
          <w:lang w:eastAsia="zh-CN"/>
        </w:rPr>
        <w:t>二、起草政策依据</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1.《殡葬管理条例》（2026修订版）​</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《国家发展</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改革</w:t>
      </w:r>
      <w:r>
        <w:rPr>
          <w:rFonts w:hint="eastAsia" w:ascii="仿宋_GB2312" w:hAnsi="仿宋_GB2312" w:eastAsia="仿宋_GB2312" w:cs="仿宋_GB2312"/>
          <w:sz w:val="32"/>
          <w:szCs w:val="32"/>
          <w:lang w:eastAsia="zh-CN"/>
        </w:rPr>
        <w:t>委员会</w:t>
      </w:r>
      <w:r>
        <w:rPr>
          <w:rFonts w:hint="eastAsia" w:ascii="仿宋_GB2312" w:hAnsi="仿宋_GB2312" w:eastAsia="仿宋_GB2312" w:cs="仿宋_GB2312"/>
          <w:sz w:val="32"/>
          <w:szCs w:val="32"/>
        </w:rPr>
        <w:t>、民政部、财政部关于进一步完善殡葬服务收费政策的通知》（发改价格〔2026〕108号）</w:t>
      </w:r>
    </w:p>
    <w:p>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3.《福建省殡葬管理办法》（2017修订）</w:t>
      </w:r>
    </w:p>
    <w:p>
      <w:pPr>
        <w:ind w:firstLine="640" w:firstLineChars="200"/>
        <w:rPr>
          <w:rFonts w:hint="eastAsia" w:ascii="国标黑体" w:hAnsi="国标黑体" w:eastAsia="国标黑体" w:cs="国标黑体"/>
          <w:sz w:val="32"/>
          <w:szCs w:val="32"/>
        </w:rPr>
      </w:pPr>
      <w:r>
        <w:rPr>
          <w:rFonts w:hint="eastAsia" w:ascii="仿宋_GB2312" w:hAnsi="仿宋_GB2312" w:eastAsia="仿宋_GB2312" w:cs="仿宋_GB2312"/>
          <w:sz w:val="32"/>
          <w:szCs w:val="32"/>
          <w:lang w:val="en-US" w:eastAsia="zh-CN"/>
        </w:rPr>
        <w:t>4.《福建省行政规范性文件备案审查办法》</w:t>
      </w:r>
    </w:p>
    <w:p>
      <w:pPr>
        <w:ind w:firstLine="640" w:firstLineChars="200"/>
        <w:rPr>
          <w:rFonts w:hint="eastAsia" w:ascii="国标黑体" w:hAnsi="国标黑体" w:eastAsia="国标黑体" w:cs="国标黑体"/>
          <w:sz w:val="32"/>
          <w:szCs w:val="32"/>
        </w:rPr>
      </w:pPr>
      <w:r>
        <w:rPr>
          <w:rFonts w:hint="eastAsia" w:ascii="国标黑体" w:hAnsi="国标黑体" w:eastAsia="国标黑体" w:cs="国标黑体"/>
          <w:sz w:val="32"/>
          <w:szCs w:val="32"/>
          <w:lang w:eastAsia="zh-CN"/>
        </w:rPr>
        <w:t>三</w:t>
      </w:r>
      <w:r>
        <w:rPr>
          <w:rFonts w:hint="eastAsia" w:ascii="国标黑体" w:hAnsi="国标黑体" w:eastAsia="国标黑体" w:cs="国标黑体"/>
          <w:sz w:val="32"/>
          <w:szCs w:val="32"/>
        </w:rPr>
        <w:t>、</w:t>
      </w:r>
      <w:r>
        <w:rPr>
          <w:rFonts w:hint="eastAsia" w:ascii="国标黑体" w:hAnsi="国标黑体" w:eastAsia="国标黑体" w:cs="国标黑体"/>
          <w:sz w:val="32"/>
          <w:szCs w:val="32"/>
          <w:lang w:eastAsia="zh-CN"/>
        </w:rPr>
        <w:t>关于</w:t>
      </w:r>
      <w:r>
        <w:rPr>
          <w:rFonts w:hint="eastAsia" w:ascii="国标黑体" w:hAnsi="国标黑体" w:eastAsia="国标黑体" w:cs="国标黑体"/>
          <w:sz w:val="32"/>
          <w:szCs w:val="32"/>
        </w:rPr>
        <w:t>起草过程</w:t>
      </w:r>
      <w:r>
        <w:rPr>
          <w:rFonts w:hint="eastAsia" w:ascii="国标黑体" w:hAnsi="国标黑体" w:eastAsia="国标黑体" w:cs="国标黑体"/>
          <w:sz w:val="32"/>
          <w:szCs w:val="32"/>
          <w:lang w:eastAsia="zh-CN"/>
        </w:rPr>
        <w:t>的说明</w:t>
      </w:r>
      <w:r>
        <w:rPr>
          <w:rFonts w:hint="eastAsia" w:ascii="国标黑体" w:hAnsi="国标黑体" w:eastAsia="国标黑体" w:cs="国标黑体"/>
          <w:sz w:val="32"/>
          <w:szCs w:val="32"/>
        </w:rPr>
        <w:t xml:space="preserve"> </w:t>
      </w:r>
    </w:p>
    <w:p>
      <w:pPr>
        <w:ind w:firstLine="640" w:firstLineChars="200"/>
        <w:rPr>
          <w:rFonts w:hint="eastAsia" w:ascii="仿宋_GB2312" w:hAnsi="仿宋_GB2312" w:eastAsia="仿宋_GB2312" w:cs="仿宋_GB2312"/>
          <w:sz w:val="32"/>
          <w:szCs w:val="32"/>
        </w:rPr>
      </w:pPr>
      <w:r>
        <w:rPr>
          <w:rFonts w:hint="eastAsia" w:ascii="楷体_GB2312" w:hAnsi="楷体_GB2312" w:eastAsia="楷体_GB2312" w:cs="楷体_GB2312"/>
          <w:b w:val="0"/>
          <w:bCs w:val="0"/>
          <w:sz w:val="32"/>
          <w:szCs w:val="32"/>
          <w:lang w:eastAsia="zh-CN"/>
        </w:rPr>
        <w:t>（一）</w:t>
      </w:r>
      <w:r>
        <w:rPr>
          <w:rFonts w:hint="eastAsia" w:ascii="楷体_GB2312" w:hAnsi="楷体_GB2312" w:eastAsia="楷体_GB2312" w:cs="楷体_GB2312"/>
          <w:b w:val="0"/>
          <w:bCs w:val="0"/>
          <w:sz w:val="32"/>
          <w:szCs w:val="32"/>
        </w:rPr>
        <w:t>调研摸底</w:t>
      </w:r>
      <w:r>
        <w:rPr>
          <w:rFonts w:hint="eastAsia" w:ascii="楷体_GB2312" w:hAnsi="楷体_GB2312" w:eastAsia="楷体_GB2312" w:cs="楷体_GB2312"/>
          <w:b w:val="0"/>
          <w:bCs w:val="0"/>
          <w:sz w:val="32"/>
          <w:szCs w:val="32"/>
          <w:lang w:eastAsia="zh-CN"/>
        </w:rPr>
        <w:t>。</w:t>
      </w:r>
      <w:r>
        <w:rPr>
          <w:rFonts w:hint="eastAsia" w:ascii="仿宋_GB2312" w:hAnsi="仿宋_GB2312" w:eastAsia="仿宋_GB2312" w:cs="仿宋_GB2312"/>
          <w:sz w:val="32"/>
          <w:szCs w:val="32"/>
          <w:lang w:eastAsia="zh-CN"/>
        </w:rPr>
        <w:t>实地走访全市殡仪馆、部分公益性公墓（骨灰堂）及经营性公墓，与运营机构负责人进行深度访谈；</w:t>
      </w:r>
      <w:r>
        <w:rPr>
          <w:rFonts w:hint="eastAsia" w:ascii="仿宋_GB2312" w:hAnsi="仿宋_GB2312" w:eastAsia="仿宋_GB2312" w:cs="仿宋_GB2312"/>
          <w:sz w:val="32"/>
          <w:szCs w:val="32"/>
        </w:rPr>
        <w:t>对殡仪馆、</w:t>
      </w:r>
      <w:r>
        <w:rPr>
          <w:rFonts w:hint="eastAsia" w:ascii="仿宋_GB2312" w:hAnsi="仿宋_GB2312" w:eastAsia="仿宋_GB2312" w:cs="仿宋_GB2312"/>
          <w:sz w:val="32"/>
          <w:szCs w:val="32"/>
          <w:lang w:eastAsia="zh-CN"/>
        </w:rPr>
        <w:t>公墓、骨灰堂</w:t>
      </w:r>
      <w:r>
        <w:rPr>
          <w:rFonts w:hint="eastAsia" w:ascii="仿宋_GB2312" w:hAnsi="仿宋_GB2312" w:eastAsia="仿宋_GB2312" w:cs="仿宋_GB2312"/>
          <w:sz w:val="32"/>
          <w:szCs w:val="32"/>
        </w:rPr>
        <w:t>现有服务项目</w:t>
      </w:r>
      <w:r>
        <w:rPr>
          <w:rFonts w:hint="eastAsia" w:ascii="仿宋_GB2312" w:hAnsi="仿宋_GB2312" w:eastAsia="仿宋_GB2312" w:cs="仿宋_GB2312"/>
          <w:sz w:val="32"/>
          <w:szCs w:val="32"/>
          <w:lang w:eastAsia="zh-CN"/>
        </w:rPr>
        <w:t>进行</w:t>
      </w:r>
      <w:r>
        <w:rPr>
          <w:rFonts w:hint="eastAsia" w:ascii="仿宋_GB2312" w:hAnsi="仿宋_GB2312" w:eastAsia="仿宋_GB2312" w:cs="仿宋_GB2312"/>
          <w:sz w:val="32"/>
          <w:szCs w:val="32"/>
        </w:rPr>
        <w:t>梳理，收集业务台账、现有收费目录，分类甄别</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合并重复项目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清理不</w:t>
      </w:r>
      <w:r>
        <w:rPr>
          <w:rFonts w:hint="eastAsia" w:ascii="仿宋_GB2312" w:hAnsi="仿宋_GB2312" w:eastAsia="仿宋_GB2312" w:cs="仿宋_GB2312"/>
          <w:sz w:val="32"/>
          <w:szCs w:val="32"/>
          <w:lang w:eastAsia="zh-CN"/>
        </w:rPr>
        <w:t>合理</w:t>
      </w:r>
      <w:r>
        <w:rPr>
          <w:rFonts w:hint="eastAsia" w:ascii="仿宋_GB2312" w:hAnsi="仿宋_GB2312" w:eastAsia="仿宋_GB2312" w:cs="仿宋_GB2312"/>
          <w:sz w:val="32"/>
          <w:szCs w:val="32"/>
        </w:rPr>
        <w:t>项目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pPr>
        <w:ind w:firstLine="640" w:firstLineChars="200"/>
        <w:rPr>
          <w:rFonts w:hint="eastAsia" w:ascii="仿宋_GB2312" w:hAnsi="仿宋_GB2312" w:eastAsia="仿宋_GB2312" w:cs="仿宋_GB2312"/>
          <w:sz w:val="32"/>
          <w:szCs w:val="32"/>
          <w:lang w:eastAsia="zh-CN"/>
        </w:rPr>
      </w:pPr>
      <w:r>
        <w:rPr>
          <w:rFonts w:hint="eastAsia" w:ascii="楷体_GB2312" w:hAnsi="楷体_GB2312" w:eastAsia="楷体_GB2312" w:cs="楷体_GB2312"/>
          <w:b w:val="0"/>
          <w:bCs w:val="0"/>
          <w:sz w:val="32"/>
          <w:szCs w:val="32"/>
          <w:lang w:eastAsia="zh-CN"/>
        </w:rPr>
        <w:t>（二）</w:t>
      </w:r>
      <w:r>
        <w:rPr>
          <w:rFonts w:hint="eastAsia" w:ascii="楷体_GB2312" w:hAnsi="楷体_GB2312" w:eastAsia="楷体_GB2312" w:cs="楷体_GB2312"/>
          <w:b w:val="0"/>
          <w:bCs w:val="0"/>
          <w:sz w:val="32"/>
          <w:szCs w:val="32"/>
        </w:rPr>
        <w:t>座谈研讨</w:t>
      </w:r>
      <w:r>
        <w:rPr>
          <w:rFonts w:hint="eastAsia" w:ascii="楷体_GB2312" w:hAnsi="楷体_GB2312" w:eastAsia="楷体_GB2312" w:cs="楷体_GB2312"/>
          <w:b w:val="0"/>
          <w:bCs w:val="0"/>
          <w:sz w:val="32"/>
          <w:szCs w:val="32"/>
          <w:lang w:eastAsia="zh-CN"/>
        </w:rPr>
        <w:t>。</w:t>
      </w:r>
      <w:r>
        <w:rPr>
          <w:rFonts w:hint="eastAsia" w:ascii="仿宋_GB2312" w:hAnsi="仿宋_GB2312" w:eastAsia="仿宋_GB2312" w:cs="仿宋_GB2312"/>
          <w:sz w:val="32"/>
          <w:szCs w:val="32"/>
          <w:lang w:eastAsia="zh-CN"/>
        </w:rPr>
        <w:t>与发改、财政、市场监管等市直单位、</w:t>
      </w:r>
      <w:r>
        <w:rPr>
          <w:rFonts w:hint="eastAsia" w:ascii="仿宋_GB2312" w:hAnsi="仿宋_GB2312" w:eastAsia="仿宋_GB2312" w:cs="仿宋_GB2312"/>
          <w:sz w:val="32"/>
          <w:szCs w:val="32"/>
        </w:rPr>
        <w:t>各县（市）区民政部门、殡葬服务机构</w:t>
      </w:r>
      <w:r>
        <w:rPr>
          <w:rFonts w:hint="eastAsia" w:ascii="仿宋_GB2312" w:hAnsi="仿宋_GB2312" w:eastAsia="仿宋_GB2312" w:cs="仿宋_GB2312"/>
          <w:sz w:val="32"/>
          <w:szCs w:val="32"/>
          <w:lang w:eastAsia="zh-CN"/>
        </w:rPr>
        <w:t>相关负责人开展座谈研讨，交流</w:t>
      </w:r>
      <w:r>
        <w:rPr>
          <w:rFonts w:hint="eastAsia" w:ascii="仿宋_GB2312" w:hAnsi="仿宋_GB2312" w:eastAsia="仿宋_GB2312" w:cs="仿宋_GB2312"/>
          <w:sz w:val="32"/>
          <w:szCs w:val="32"/>
        </w:rPr>
        <w:t>意见，</w:t>
      </w:r>
      <w:r>
        <w:rPr>
          <w:rFonts w:hint="eastAsia" w:ascii="仿宋_GB2312" w:hAnsi="仿宋_GB2312" w:eastAsia="仿宋_GB2312" w:cs="仿宋_GB2312"/>
          <w:sz w:val="32"/>
          <w:szCs w:val="32"/>
          <w:lang w:eastAsia="zh-CN"/>
        </w:rPr>
        <w:t>探讨设置</w:t>
      </w:r>
      <w:r>
        <w:rPr>
          <w:rFonts w:hint="eastAsia" w:ascii="仿宋_GB2312" w:hAnsi="仿宋_GB2312" w:eastAsia="仿宋_GB2312" w:cs="仿宋_GB2312"/>
          <w:sz w:val="32"/>
          <w:szCs w:val="32"/>
        </w:rPr>
        <w:t>遗体</w:t>
      </w:r>
      <w:r>
        <w:rPr>
          <w:rFonts w:hint="eastAsia" w:ascii="仿宋_GB2312" w:hAnsi="仿宋_GB2312" w:eastAsia="仿宋_GB2312" w:cs="仿宋_GB2312"/>
          <w:sz w:val="32"/>
          <w:szCs w:val="32"/>
          <w:lang w:eastAsia="zh-CN"/>
        </w:rPr>
        <w:t>处置</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设备用品</w:t>
      </w:r>
      <w:r>
        <w:rPr>
          <w:rFonts w:hint="eastAsia" w:ascii="仿宋_GB2312" w:hAnsi="仿宋_GB2312" w:eastAsia="仿宋_GB2312" w:cs="仿宋_GB2312"/>
          <w:sz w:val="32"/>
          <w:szCs w:val="32"/>
        </w:rPr>
        <w:t>租赁、骨灰</w:t>
      </w:r>
      <w:r>
        <w:rPr>
          <w:rFonts w:hint="eastAsia" w:ascii="仿宋_GB2312" w:hAnsi="仿宋_GB2312" w:eastAsia="仿宋_GB2312" w:cs="仿宋_GB2312"/>
          <w:sz w:val="32"/>
          <w:szCs w:val="32"/>
          <w:lang w:eastAsia="zh-CN"/>
        </w:rPr>
        <w:t>存（放）葬</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殡葬礼仪</w:t>
      </w:r>
      <w:r>
        <w:rPr>
          <w:rFonts w:hint="eastAsia" w:ascii="仿宋_GB2312" w:hAnsi="仿宋_GB2312" w:eastAsia="仿宋_GB2312" w:cs="仿宋_GB2312"/>
          <w:sz w:val="32"/>
          <w:szCs w:val="32"/>
        </w:rPr>
        <w:t>等服务类别</w:t>
      </w:r>
      <w:r>
        <w:rPr>
          <w:rFonts w:hint="eastAsia" w:ascii="仿宋_GB2312" w:hAnsi="仿宋_GB2312" w:eastAsia="仿宋_GB2312" w:cs="仿宋_GB2312"/>
          <w:sz w:val="32"/>
          <w:szCs w:val="32"/>
          <w:lang w:eastAsia="zh-CN"/>
        </w:rPr>
        <w:t>，同步研究项目名称、涉及服务内容、定价方式、定价依据、计费要素等设定的合理性。</w:t>
      </w:r>
    </w:p>
    <w:p>
      <w:pPr>
        <w:ind w:firstLine="640" w:firstLineChars="200"/>
        <w:rPr>
          <w:rFonts w:hint="eastAsia" w:ascii="仿宋_GB2312" w:hAnsi="仿宋_GB2312" w:eastAsia="仿宋_GB2312" w:cs="仿宋_GB2312"/>
          <w:sz w:val="32"/>
          <w:szCs w:val="32"/>
        </w:rPr>
      </w:pPr>
      <w:r>
        <w:rPr>
          <w:rFonts w:hint="eastAsia" w:ascii="楷体_GB2312" w:hAnsi="楷体_GB2312" w:eastAsia="楷体_GB2312" w:cs="楷体_GB2312"/>
          <w:b w:val="0"/>
          <w:bCs w:val="0"/>
          <w:sz w:val="32"/>
          <w:szCs w:val="32"/>
          <w:lang w:eastAsia="zh-CN"/>
        </w:rPr>
        <w:t>（三）</w:t>
      </w:r>
      <w:r>
        <w:rPr>
          <w:rFonts w:hint="eastAsia" w:ascii="楷体_GB2312" w:hAnsi="楷体_GB2312" w:eastAsia="楷体_GB2312" w:cs="楷体_GB2312"/>
          <w:b w:val="0"/>
          <w:bCs w:val="0"/>
          <w:sz w:val="32"/>
          <w:szCs w:val="32"/>
        </w:rPr>
        <w:t>修改完善</w:t>
      </w:r>
      <w:r>
        <w:rPr>
          <w:rFonts w:hint="eastAsia" w:ascii="楷体_GB2312" w:hAnsi="楷体_GB2312" w:eastAsia="楷体_GB2312" w:cs="楷体_GB2312"/>
          <w:b w:val="0"/>
          <w:bCs w:val="0"/>
          <w:sz w:val="32"/>
          <w:szCs w:val="32"/>
          <w:lang w:eastAsia="zh-CN"/>
        </w:rPr>
        <w:t>。</w:t>
      </w:r>
      <w:r>
        <w:rPr>
          <w:rFonts w:hint="eastAsia" w:ascii="仿宋_GB2312" w:hAnsi="仿宋_GB2312" w:eastAsia="仿宋_GB2312" w:cs="仿宋_GB2312"/>
          <w:sz w:val="32"/>
          <w:szCs w:val="32"/>
        </w:rPr>
        <w:t>综合各方意见，精简项目名称、明确服务内涵、界定定价方式，形成《清单》。</w:t>
      </w:r>
    </w:p>
    <w:p>
      <w:pPr>
        <w:ind w:firstLine="640" w:firstLineChars="200"/>
        <w:rPr>
          <w:rFonts w:hint="eastAsia" w:ascii="仿宋_GB2312" w:hAnsi="仿宋_GB2312" w:eastAsia="国标黑体" w:cs="仿宋_GB2312"/>
          <w:sz w:val="32"/>
          <w:szCs w:val="32"/>
          <w:lang w:eastAsia="zh-CN"/>
        </w:rPr>
      </w:pPr>
      <w:r>
        <w:rPr>
          <w:rFonts w:hint="eastAsia" w:ascii="国标黑体" w:hAnsi="国标黑体" w:eastAsia="国标黑体" w:cs="国标黑体"/>
          <w:sz w:val="32"/>
          <w:szCs w:val="32"/>
          <w:lang w:eastAsia="zh-CN"/>
        </w:rPr>
        <w:t>四</w:t>
      </w:r>
      <w:r>
        <w:rPr>
          <w:rFonts w:hint="eastAsia" w:ascii="国标黑体" w:hAnsi="国标黑体" w:eastAsia="国标黑体" w:cs="国标黑体"/>
          <w:sz w:val="32"/>
          <w:szCs w:val="32"/>
        </w:rPr>
        <w:t>、</w:t>
      </w:r>
      <w:r>
        <w:rPr>
          <w:rFonts w:hint="eastAsia" w:ascii="国标黑体" w:hAnsi="国标黑体" w:eastAsia="国标黑体" w:cs="国标黑体"/>
          <w:sz w:val="32"/>
          <w:szCs w:val="32"/>
          <w:lang w:eastAsia="zh-CN"/>
        </w:rPr>
        <w:t>关于</w:t>
      </w:r>
      <w:r>
        <w:rPr>
          <w:rFonts w:hint="eastAsia" w:ascii="国标黑体" w:hAnsi="国标黑体" w:eastAsia="国标黑体" w:cs="国标黑体"/>
          <w:sz w:val="32"/>
          <w:szCs w:val="32"/>
        </w:rPr>
        <w:t>主要内容</w:t>
      </w:r>
      <w:r>
        <w:rPr>
          <w:rFonts w:hint="eastAsia" w:ascii="国标黑体" w:hAnsi="国标黑体" w:eastAsia="国标黑体" w:cs="国标黑体"/>
          <w:sz w:val="32"/>
          <w:szCs w:val="32"/>
          <w:lang w:eastAsia="zh-CN"/>
        </w:rPr>
        <w:t>的说明</w:t>
      </w:r>
    </w:p>
    <w:p>
      <w:pPr>
        <w:ind w:firstLine="640" w:firstLineChars="200"/>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（一）科学界定</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非基础殡葬服务指在基础殡葬服务之外，由群众根据实际需求自主选择的个性化、定制化及特需类服务项目</w:t>
      </w:r>
      <w:r>
        <w:rPr>
          <w:rFonts w:hint="eastAsia" w:ascii="仿宋_GB2312" w:hAnsi="仿宋_GB2312" w:eastAsia="仿宋_GB2312" w:cs="仿宋_GB2312"/>
          <w:color w:val="auto"/>
          <w:kern w:val="0"/>
          <w:sz w:val="32"/>
          <w:szCs w:val="32"/>
          <w:lang w:eastAsia="zh-CN" w:bidi="ar"/>
        </w:rPr>
        <w:t>，</w:t>
      </w:r>
      <w:r>
        <w:rPr>
          <w:rFonts w:hint="eastAsia" w:ascii="仿宋_GB2312" w:hAnsi="仿宋_GB2312" w:eastAsia="仿宋_GB2312" w:cs="仿宋_GB2312"/>
          <w:color w:val="auto"/>
          <w:kern w:val="0"/>
          <w:sz w:val="32"/>
          <w:szCs w:val="32"/>
          <w:u w:val="none"/>
          <w:lang w:val="en-US" w:eastAsia="zh-CN" w:bidi="ar"/>
        </w:rPr>
        <w:t>实行清单化管理，</w:t>
      </w:r>
      <w:r>
        <w:rPr>
          <w:rFonts w:hint="eastAsia" w:ascii="仿宋_GB2312" w:hAnsi="仿宋_GB2312" w:eastAsia="仿宋_GB2312" w:cs="仿宋_GB2312"/>
          <w:color w:val="auto"/>
          <w:sz w:val="32"/>
          <w:szCs w:val="32"/>
        </w:rPr>
        <w:t>丧属</w:t>
      </w:r>
      <w:r>
        <w:rPr>
          <w:rFonts w:hint="eastAsia" w:ascii="仿宋_GB2312" w:hAnsi="仿宋_GB2312" w:eastAsia="仿宋_GB2312" w:cs="仿宋_GB2312"/>
          <w:color w:val="auto"/>
          <w:sz w:val="32"/>
          <w:szCs w:val="32"/>
          <w:lang w:eastAsia="zh-CN"/>
        </w:rPr>
        <w:t>可自愿按需选购</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sz w:val="32"/>
          <w:szCs w:val="32"/>
        </w:rPr>
        <w:t>清单</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sz w:val="32"/>
          <w:szCs w:val="32"/>
        </w:rPr>
        <w:t>适用于福州市行政区域内</w:t>
      </w:r>
      <w:r>
        <w:rPr>
          <w:rFonts w:hint="eastAsia" w:ascii="仿宋_GB2312" w:hAnsi="仿宋_GB2312" w:eastAsia="仿宋_GB2312" w:cs="仿宋_GB2312"/>
          <w:sz w:val="32"/>
          <w:szCs w:val="32"/>
          <w:lang w:eastAsia="zh-CN"/>
        </w:rPr>
        <w:t>运营殡仪馆、公墓、骨灰堂的殡葬服务机构</w:t>
      </w:r>
      <w:r>
        <w:rPr>
          <w:rFonts w:hint="eastAsia" w:ascii="仿宋_GB2312" w:hAnsi="仿宋_GB2312" w:eastAsia="仿宋_GB2312" w:cs="仿宋_GB2312"/>
          <w:sz w:val="32"/>
          <w:szCs w:val="32"/>
        </w:rPr>
        <w:t>。</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sz w:val="32"/>
          <w:szCs w:val="32"/>
        </w:rPr>
        <w:t>清单</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sz w:val="32"/>
          <w:szCs w:val="32"/>
        </w:rPr>
        <w:t>实行动态管理，根据殡葬政策调整、群众诉求</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情况，适时修订更新。</w:t>
      </w:r>
      <w:r>
        <w:rPr>
          <w:rFonts w:hint="eastAsia" w:ascii="仿宋_GB2312" w:hAnsi="仿宋_GB2312" w:eastAsia="仿宋_GB2312" w:cs="仿宋_GB2312"/>
          <w:color w:val="auto"/>
          <w:sz w:val="32"/>
          <w:szCs w:val="32"/>
        </w:rPr>
        <w:t>​</w:t>
      </w:r>
    </w:p>
    <w:p>
      <w:pPr>
        <w:ind w:firstLine="640" w:firstLineChars="200"/>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（二）项目设置</w:t>
      </w:r>
    </w:p>
    <w:p>
      <w:pPr>
        <w:widowControl/>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非基础殡葬服务包</w:t>
      </w:r>
      <w:r>
        <w:rPr>
          <w:rFonts w:hint="eastAsia" w:ascii="仿宋_GB2312" w:hAnsi="仿宋_GB2312" w:eastAsia="仿宋_GB2312" w:cs="仿宋_GB2312"/>
          <w:color w:val="auto"/>
          <w:sz w:val="32"/>
          <w:szCs w:val="32"/>
          <w:lang w:eastAsia="zh-CN"/>
        </w:rPr>
        <w:t>括</w:t>
      </w:r>
      <w:r>
        <w:rPr>
          <w:rFonts w:hint="eastAsia" w:ascii="仿宋_GB2312" w:hAnsi="仿宋_GB2312" w:eastAsia="仿宋_GB2312" w:cs="仿宋_GB2312"/>
          <w:i w:val="0"/>
          <w:iCs w:val="0"/>
          <w:caps w:val="0"/>
          <w:color w:val="auto"/>
          <w:spacing w:val="0"/>
          <w:w w:val="100"/>
          <w:kern w:val="2"/>
          <w:sz w:val="32"/>
          <w:szCs w:val="32"/>
          <w:shd w:val="clear" w:color="auto" w:fill="auto"/>
          <w:vertAlign w:val="baseline"/>
          <w:lang w:val="en-US" w:eastAsia="zh-CN" w:bidi="ar"/>
        </w:rPr>
        <w:t>遗体特需搬运、遗体防腐保存、遗体整理服务、</w:t>
      </w:r>
      <w:r>
        <w:rPr>
          <w:rFonts w:hint="eastAsia" w:ascii="仿宋_GB2312" w:hAnsi="仿宋_GB2312" w:eastAsia="仿宋_GB2312" w:cs="仿宋_GB2312"/>
          <w:color w:val="auto"/>
          <w:spacing w:val="0"/>
          <w:w w:val="100"/>
          <w:kern w:val="2"/>
          <w:sz w:val="32"/>
          <w:szCs w:val="32"/>
          <w:vertAlign w:val="baseline"/>
          <w:lang w:val="en-US" w:eastAsia="zh-CN" w:bidi="ar-SA"/>
        </w:rPr>
        <w:t>礼仪服务、</w:t>
      </w:r>
      <w:r>
        <w:rPr>
          <w:rFonts w:hint="eastAsia" w:ascii="仿宋_GB2312" w:hAnsi="仿宋_GB2312" w:eastAsia="仿宋_GB2312" w:cs="仿宋_GB2312"/>
          <w:sz w:val="32"/>
          <w:szCs w:val="32"/>
          <w:lang w:val="en-US" w:eastAsia="zh-CN"/>
        </w:rPr>
        <w:t>设施用品租赁、安葬服务、维护管理、代客祭扫、其他服务、殡葬用品共10项，</w:t>
      </w:r>
      <w:r>
        <w:rPr>
          <w:rFonts w:hint="eastAsia" w:ascii="仿宋_GB2312" w:hAnsi="仿宋_GB2312" w:eastAsia="仿宋_GB2312" w:cs="仿宋_GB2312"/>
          <w:sz w:val="32"/>
          <w:szCs w:val="32"/>
          <w:lang w:eastAsia="zh-CN"/>
        </w:rPr>
        <w:t>涵盖殡仪、安葬、祭祀全过程</w:t>
      </w:r>
      <w:r>
        <w:rPr>
          <w:rFonts w:hint="eastAsia" w:ascii="仿宋_GB2312" w:hAnsi="仿宋_GB2312" w:eastAsia="仿宋_GB2312" w:cs="仿宋_GB2312"/>
          <w:sz w:val="32"/>
          <w:szCs w:val="32"/>
        </w:rPr>
        <w:t>。</w:t>
      </w:r>
    </w:p>
    <w:p>
      <w:pPr>
        <w:ind w:firstLine="640" w:firstLineChars="200"/>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（三）监管要求</w:t>
      </w:r>
    </w:p>
    <w:p>
      <w:pPr>
        <w:ind w:firstLine="640" w:firstLineChars="200"/>
        <w:rPr>
          <w:rFonts w:hint="default" w:ascii="国标黑体" w:hAnsi="国标黑体" w:eastAsia="国标黑体" w:cs="国标黑体"/>
          <w:sz w:val="32"/>
          <w:szCs w:val="32"/>
          <w:lang w:val="en-US" w:eastAsia="zh-CN"/>
        </w:rPr>
      </w:pPr>
      <w:r>
        <w:rPr>
          <w:rFonts w:hint="eastAsia" w:ascii="仿宋_GB2312" w:hAnsi="仿宋_GB2312" w:eastAsia="仿宋_GB2312" w:cs="仿宋_GB2312"/>
          <w:sz w:val="32"/>
          <w:szCs w:val="32"/>
          <w:lang w:eastAsia="zh-CN"/>
        </w:rPr>
        <w:t>《清单》正式出台后，相关部门要密切配合，采取综合监管手段，严肃查处不遵守行业管理有关规定、擅自设立收费项目、不按规定明码标价等行为，公开曝光性质恶劣、情节严重的典型案例，切实维护广大群众的合法权益。</w:t>
      </w:r>
      <w:r>
        <w:rPr>
          <w:rFonts w:hint="eastAsia" w:ascii="仿宋_GB2312" w:hAnsi="仿宋_GB2312" w:eastAsia="仿宋_GB2312" w:cs="仿宋_GB2312"/>
          <w:sz w:val="32"/>
          <w:szCs w:val="32"/>
        </w:rPr>
        <w:t xml:space="preserve"> </w:t>
      </w:r>
    </w:p>
    <w:p>
      <w:pPr>
        <w:ind w:firstLine="640" w:firstLineChars="200"/>
        <w:rPr>
          <w:rFonts w:hint="eastAsia" w:ascii="仿宋_GB2312" w:hAnsi="仿宋_GB2312" w:eastAsia="仿宋_GB2312" w:cs="仿宋_GB2312"/>
          <w:sz w:val="32"/>
          <w:szCs w:val="32"/>
          <w:lang w:eastAsia="zh-CN"/>
        </w:rPr>
      </w:pPr>
    </w:p>
    <w:p>
      <w:pPr>
        <w:ind w:firstLine="640" w:firstLineChars="200"/>
        <w:rPr>
          <w:rFonts w:hint="eastAsia" w:ascii="仿宋_GB2312" w:hAnsi="仿宋_GB2312" w:eastAsia="仿宋_GB2312" w:cs="仿宋_GB2312"/>
          <w:sz w:val="32"/>
          <w:szCs w:val="32"/>
          <w:lang w:eastAsia="zh-CN"/>
        </w:rPr>
      </w:pPr>
    </w:p>
    <w:p>
      <w:pPr>
        <w:ind w:firstLine="640" w:firstLineChars="200"/>
        <w:rPr>
          <w:rFonts w:hint="eastAsia" w:ascii="仿宋_GB2312" w:hAnsi="仿宋_GB2312" w:eastAsia="仿宋_GB2312" w:cs="仿宋_GB2312"/>
          <w:sz w:val="32"/>
          <w:szCs w:val="32"/>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国标黑体">
    <w:panose1 w:val="020005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 w:name="DejaVu Math TeX Gyre">
    <w:panose1 w:val="02000503000000000000"/>
    <w:charset w:val="00"/>
    <w:family w:val="auto"/>
    <w:pitch w:val="default"/>
    <w:sig w:usb0="A10000EF" w:usb1="4201F9EE" w:usb2="02000000" w:usb3="00000000" w:csb0="60000193" w:csb1="0DD4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trackRevisions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FDF78CC"/>
    <w:rsid w:val="2ED7ABF0"/>
    <w:rsid w:val="2FF10B0F"/>
    <w:rsid w:val="37AF2E00"/>
    <w:rsid w:val="3FAFC626"/>
    <w:rsid w:val="47FA87B1"/>
    <w:rsid w:val="4D2E5280"/>
    <w:rsid w:val="4FDD6685"/>
    <w:rsid w:val="55DDF67B"/>
    <w:rsid w:val="566FE3FD"/>
    <w:rsid w:val="5B7CFE05"/>
    <w:rsid w:val="65A36DAC"/>
    <w:rsid w:val="69D73544"/>
    <w:rsid w:val="69F7851F"/>
    <w:rsid w:val="771F5C55"/>
    <w:rsid w:val="797A770B"/>
    <w:rsid w:val="79B929D6"/>
    <w:rsid w:val="7B9FFCF4"/>
    <w:rsid w:val="7D6B34FC"/>
    <w:rsid w:val="7DBF8308"/>
    <w:rsid w:val="7DFC1995"/>
    <w:rsid w:val="7F27CC35"/>
    <w:rsid w:val="7FDF3435"/>
    <w:rsid w:val="7FF739D7"/>
    <w:rsid w:val="B6FE5D80"/>
    <w:rsid w:val="BEFA4FEC"/>
    <w:rsid w:val="C9D68882"/>
    <w:rsid w:val="CFDE92E6"/>
    <w:rsid w:val="D3FF18A5"/>
    <w:rsid w:val="D6F68E77"/>
    <w:rsid w:val="DFBE9748"/>
    <w:rsid w:val="DFEEE0B7"/>
    <w:rsid w:val="E3BFF2F5"/>
    <w:rsid w:val="E9BF232E"/>
    <w:rsid w:val="ECBA3A1B"/>
    <w:rsid w:val="ECF0DFAD"/>
    <w:rsid w:val="ED79FBD8"/>
    <w:rsid w:val="EFFFA0EE"/>
    <w:rsid w:val="F6FD3329"/>
    <w:rsid w:val="F6FDA9EE"/>
    <w:rsid w:val="F7E7BB96"/>
    <w:rsid w:val="F7FFBE19"/>
    <w:rsid w:val="F95A621D"/>
    <w:rsid w:val="F9DE76F9"/>
    <w:rsid w:val="FCBE2B9E"/>
    <w:rsid w:val="FDE7A2D7"/>
    <w:rsid w:val="FF5FFDDA"/>
    <w:rsid w:val="FFEFE735"/>
    <w:rsid w:val="FFFE1E5D"/>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Arial"/>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iPriority="39"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kern w:val="2"/>
      <w:sz w:val="21"/>
      <w:szCs w:val="22"/>
      <w:lang w:val="en-US" w:eastAsia="zh-CN" w:bidi="ar-SA"/>
    </w:rPr>
  </w:style>
  <w:style w:type="paragraph" w:styleId="2">
    <w:name w:val="heading 2"/>
    <w:basedOn w:val="1"/>
    <w:next w:val="3"/>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1">
    <w:name w:val="Default Paragraph Font"/>
    <w:qFormat/>
    <w:uiPriority w:val="1"/>
  </w:style>
  <w:style w:type="table" w:default="1" w:styleId="9">
    <w:name w:val="Normal Table"/>
    <w:qFormat/>
    <w:uiPriority w:val="99"/>
    <w:tblPr>
      <w:tblCellMar>
        <w:top w:w="0" w:type="dxa"/>
        <w:left w:w="108" w:type="dxa"/>
        <w:bottom w:w="0" w:type="dxa"/>
        <w:right w:w="108" w:type="dxa"/>
      </w:tblCellMar>
    </w:tblPr>
  </w:style>
  <w:style w:type="paragraph" w:styleId="3">
    <w:name w:val="Normal Indent"/>
    <w:basedOn w:val="1"/>
    <w:next w:val="4"/>
    <w:unhideWhenUsed/>
    <w:qFormat/>
    <w:uiPriority w:val="99"/>
    <w:pPr>
      <w:ind w:firstLine="420" w:firstLineChars="200"/>
    </w:pPr>
    <w:rPr>
      <w:sz w:val="33"/>
      <w:szCs w:val="33"/>
    </w:rPr>
  </w:style>
  <w:style w:type="paragraph" w:styleId="4">
    <w:name w:val="toc 4"/>
    <w:basedOn w:val="1"/>
    <w:next w:val="1"/>
    <w:unhideWhenUsed/>
    <w:qFormat/>
    <w:uiPriority w:val="39"/>
    <w:pPr>
      <w:ind w:left="1260" w:leftChars="6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Body Text First Indent 2"/>
    <w:basedOn w:val="1"/>
    <w:next w:val="8"/>
    <w:qFormat/>
    <w:uiPriority w:val="0"/>
    <w:pPr>
      <w:ind w:firstLine="420" w:firstLineChars="200"/>
    </w:pPr>
    <w:rPr>
      <w:rFonts w:ascii="Times New Roman" w:hAnsi="Times New Roman" w:eastAsia="宋体" w:cs="Times New Roman"/>
    </w:rPr>
  </w:style>
  <w:style w:type="paragraph" w:customStyle="1" w:styleId="8">
    <w:name w:val="*正文"/>
    <w:basedOn w:val="1"/>
    <w:qFormat/>
    <w:uiPriority w:val="0"/>
    <w:pPr>
      <w:spacing w:line="360" w:lineRule="auto"/>
      <w:ind w:firstLine="480"/>
    </w:pPr>
    <w:rPr>
      <w:rFonts w:cs="仿宋_GB2312"/>
      <w:sz w:val="24"/>
    </w:rPr>
  </w:style>
  <w:style w:type="table" w:styleId="10">
    <w:name w:val="Table Grid"/>
    <w:basedOn w:val="9"/>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Words>1719</Words>
  <Characters>1756</Characters>
  <Paragraphs>60</Paragraphs>
  <TotalTime>16</TotalTime>
  <ScaleCrop>false</ScaleCrop>
  <LinksUpToDate>false</LinksUpToDate>
  <CharactersWithSpaces>1789</CharactersWithSpaces>
  <Application>WPS Office_11.8.2.10554_F1E327BC-269C-435d-A152-05C5408002CA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2026-09-04T16:58:00Z</dcterms:created>
  <dc:creator>LNA-AL00</dc:creator>
  <cp:lastModifiedBy>xyf</cp:lastModifiedBy>
  <cp:lastPrinted>2026-11-03T23:16:00Z</cp:lastPrinted>
  <dcterms:modified xsi:type="dcterms:W3CDTF">2026-11-04T15:03:29Z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30fe529b23d640ef924606f7de5534d1_21</vt:lpwstr>
  </property>
  <property fmtid="{D5CDD505-2E9C-101B-9397-08002B2CF9AE}" pid="3" name="KSOProductBuildVer">
    <vt:lpwstr>2052-11.8.2.10554</vt:lpwstr>
  </property>
</Properties>
</file>